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 w:line="245" w:lineRule="auto"/>
      </w:pPr>
      <w:r>
        <w:rPr>
          <w:rFonts w:ascii="Arial" w:hAnsi="Arial"/>
          <w:b/>
          <w:color w:val="9A6A1F"/>
          <w:sz w:val="16"/>
        </w:rPr>
        <w:t>DRAFT v0.1 FOR PRACTITIONER TESTING — NOT FOR CIRCULATION</w:t>
      </w:r>
    </w:p>
    <w:p>
      <w:pPr>
        <w:pStyle w:val="Title"/>
        <w:spacing w:after="100"/>
      </w:pPr>
      <w:r>
        <w:rPr>
          <w:rFonts w:ascii="Arial" w:hAnsi="Arial"/>
          <w:b/>
          <w:sz w:val="36"/>
        </w:rPr>
        <w:t>School and trust customisation worksheet</w:t>
      </w:r>
    </w:p>
    <w:p>
      <w:pPr>
        <w:spacing w:after="140" w:before="0" w:line="245" w:lineRule="auto"/>
      </w:pPr>
      <w:r>
        <w:rPr>
          <w:rFonts w:ascii="Arial" w:hAnsi="Arial"/>
          <w:b w:val="0"/>
          <w:color w:val="5F5E5A"/>
          <w:sz w:val="20"/>
        </w:rPr>
        <w:t>Complete once to supply the details needed across the five implementation resources. Record agreed choices or write “undecided”. Do not enter individual pupil information.</w:t>
      </w:r>
    </w:p>
    <w:p>
      <w:pPr>
        <w:spacing w:after="100" w:line="245" w:lineRule="auto"/>
      </w:pPr>
      <w:r>
        <w:rPr>
          <w:rFonts w:ascii="Arial" w:hAnsi="Arial"/>
          <w:b w:val="0"/>
          <w:sz w:val="20"/>
        </w:rPr>
        <w:t xml:space="preserve">This worksheet is </w:t>
      </w:r>
      <w:r>
        <w:rPr>
          <w:rFonts w:ascii="Arial" w:hAnsi="Arial"/>
          <w:b/>
          <w:color w:val="72726E"/>
          <w:sz w:val="15"/>
        </w:rPr>
        <w:t>GOOD PRACTICE</w:t>
      </w:r>
      <w:r>
        <w:rPr>
          <w:rFonts w:ascii="Arial" w:hAnsi="Arial"/>
          <w:b w:val="0"/>
          <w:sz w:val="20"/>
        </w:rPr>
        <w:t>. Administrative details and policy choices are separate from case decisions. Completing this worksheet does not adopt a policy. Use the Policy framework’s YOUR SCHOOL DECIDES boxes and Appendix B.</w:t>
      </w:r>
    </w:p>
    <w:p>
      <w:pPr>
        <w:pStyle w:val="Heading1"/>
        <w:keepNext/>
        <w:spacing w:before="180" w:after="100"/>
      </w:pPr>
      <w:r>
        <w:rPr>
          <w:rFonts w:ascii="Arial" w:hAnsi="Arial"/>
          <w:b/>
          <w:sz w:val="26"/>
        </w:rPr>
        <w:t>1 Setting, people and contacts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6134"/>
      </w:tblGrid>
      <w:tr>
        <w:trPr>
          <w:tblHeader/>
          <w:cantSplit/>
        </w:trPr>
        <w:tc>
          <w:tcPr>
            <w:tcW w:type="dxa" w:w="2891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Record</w:t>
            </w:r>
          </w:p>
        </w:tc>
        <w:tc>
          <w:tcPr>
            <w:tcW w:type="dxa" w:w="6134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Complete or give a secure record reference</w:t>
            </w:r>
          </w:p>
        </w:tc>
      </w:tr>
      <w:tr>
        <w:trPr>
          <w:cantSplit/>
          <w:trHeight w:val="652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Setting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[School name; trust name if applicable; England setting; primary/secondary/all-through/special; pupil age range]</w:t>
            </w:r>
          </w:p>
        </w:tc>
      </w:tr>
      <w:tr>
        <w:trPr>
          <w:cantSplit/>
          <w:trHeight w:val="652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Safeguarding roles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[DSL name/contact; deputy name/contact; route for passing a request]</w:t>
            </w:r>
          </w:p>
        </w:tc>
      </w:tr>
      <w:tr>
        <w:trPr>
          <w:cantSplit/>
          <w:trHeight w:val="652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Decision and oversight roles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[Decision-maker; governor/trustee oversight; trust lead; local reporting body; who briefs supply and temporary staff]</w:t>
            </w:r>
          </w:p>
        </w:tc>
      </w:tr>
      <w:tr>
        <w:trPr>
          <w:cantSplit/>
          <w:trHeight w:val="652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Communication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[Named sender/role; school address; parent contact details for the school; policy location/link; how outcomes are communicated]</w:t>
            </w:r>
          </w:p>
        </w:tc>
      </w:tr>
      <w:tr>
        <w:trPr>
          <w:cantSplit/>
          <w:trHeight w:val="652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Policy and approval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[Policy title/version; local authority/trust/legal review; approving governing body/proprietor and date; next policy review date]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pPr>
        <w:pStyle w:val="Heading1"/>
        <w:keepNext/>
        <w:spacing w:before="180" w:after="100"/>
      </w:pPr>
      <w:r>
        <w:rPr>
          <w:rFonts w:ascii="Arial" w:hAnsi="Arial"/>
          <w:b/>
          <w:sz w:val="26"/>
        </w:rPr>
        <w:t>2 Local timescales and reviews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6134"/>
      </w:tblGrid>
      <w:tr>
        <w:trPr>
          <w:tblHeader/>
          <w:cantSplit/>
        </w:trPr>
        <w:tc>
          <w:tcPr>
            <w:tcW w:type="dxa" w:w="2891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Record</w:t>
            </w:r>
          </w:p>
        </w:tc>
        <w:tc>
          <w:tcPr>
            <w:tcW w:type="dxa" w:w="6134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Complete or give a secure record reference</w:t>
            </w:r>
          </w:p>
        </w:tc>
      </w:tr>
      <w:tr>
        <w:trPr>
          <w:cantSplit/>
          <w:trHeight w:val="624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Request timescale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[Local target in school days; who provides progress updates and when. KCSIE sets no decision timescale.]</w:t>
            </w:r>
          </w:p>
        </w:tc>
      </w:tr>
      <w:tr>
        <w:trPr>
          <w:cantSplit/>
          <w:trHeight w:val="624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Review and disagreement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[Regular review interval; contact for earlier review; complaints procedure location; direct complaints route or review meeting first]</w:t>
            </w:r>
          </w:p>
        </w:tc>
      </w:tr>
      <w:tr>
        <w:trPr>
          <w:cantSplit/>
          <w:trHeight w:val="624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Trust assurance cycle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[Reporting date; school return deadline; escalation role/body; next trust review; school list supplied separately]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r>
        <w:br w:type="page"/>
      </w:r>
    </w:p>
    <w:p>
      <w:pPr>
        <w:pStyle w:val="Heading1"/>
        <w:keepNext/>
        <w:spacing w:before="180" w:after="100"/>
      </w:pPr>
      <w:r>
        <w:rPr>
          <w:rFonts w:ascii="Arial" w:hAnsi="Arial"/>
          <w:b/>
          <w:sz w:val="26"/>
        </w:rPr>
        <w:t>3 Confirm school choices within the guidance limits</w:t>
      </w:r>
    </w:p>
    <w:p>
      <w:pPr>
        <w:spacing w:after="100" w:before="0" w:line="245" w:lineRule="auto"/>
      </w:pPr>
      <w:r>
        <w:rPr>
          <w:rFonts w:ascii="Arial" w:hAnsi="Arial"/>
          <w:b w:val="0"/>
          <w:sz w:val="19"/>
        </w:rPr>
        <w:t>Do not select an option simply to fill a box. Copy the school’s agreed wording or mark it undecided. The original Policy framework gives the options and qualifications.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92"/>
        <w:gridCol w:w="4433"/>
      </w:tblGrid>
      <w:tr>
        <w:trPr>
          <w:tblHeader/>
          <w:cantSplit/>
        </w:trPr>
        <w:tc>
          <w:tcPr>
            <w:tcW w:type="dxa" w:w="4592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Choice to confirm</w:t>
            </w:r>
          </w:p>
        </w:tc>
        <w:tc>
          <w:tcPr>
            <w:tcW w:type="dxa" w:w="4433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Agreed wording or undecided</w:t>
            </w:r>
          </w:p>
        </w:tc>
      </w:tr>
      <w:tr>
        <w:trPr>
          <w:cantSplit/>
          <w:trHeight w:val="624" w:hRule="atLeast"/>
        </w:trPr>
        <w:tc>
          <w:tcPr>
            <w:tcW w:type="dxa" w:w="4592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Confiding without a request</w:t>
              <w:br/>
              <w:t>Policy framework section 4: whether a brief confidential note is made. Its option B calls for data protection advice. Limits [271, 74, 104, 105].</w:t>
            </w:r>
          </w:p>
        </w:tc>
        <w:tc>
          <w:tcPr>
            <w:tcW w:type="dxa" w:w="4433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[Choice; advice/reasoning reference]</w:t>
            </w:r>
          </w:p>
        </w:tc>
      </w:tr>
      <w:tr>
        <w:trPr>
          <w:cantSplit/>
          <w:trHeight w:val="624" w:hRule="atLeast"/>
        </w:trPr>
        <w:tc>
          <w:tcPr>
            <w:tcW w:type="dxa" w:w="4592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Private conversation before a decision</w:t>
              <w:br/>
              <w:t>Policy framework section 4: whether different words are used privately. Its option B calls for advice because KCSIE does not say whether it counts as adopting a change. Limits [260, 271].</w:t>
            </w:r>
          </w:p>
        </w:tc>
        <w:tc>
          <w:tcPr>
            <w:tcW w:type="dxa" w:w="4433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[Choice; advice reference]</w:t>
            </w:r>
          </w:p>
        </w:tc>
      </w:tr>
      <w:tr>
        <w:trPr>
          <w:cantSplit/>
          <w:trHeight w:val="624" w:hRule="atLeast"/>
        </w:trPr>
        <w:tc>
          <w:tcPr>
            <w:tcW w:type="dxa" w:w="4592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Alternative facilities</w:t>
              <w:br/>
              <w:t>Available alternatives; responsible role; recording and review interval. Limits [111, 112, 113, 117, 118, 202].</w:t>
            </w:r>
          </w:p>
        </w:tc>
        <w:tc>
          <w:tcPr>
            <w:tcW w:type="dxa" w:w="4433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[Arrangements; role; interval]</w:t>
            </w:r>
          </w:p>
        </w:tc>
      </w:tr>
      <w:tr>
        <w:trPr>
          <w:cantSplit/>
          <w:trHeight w:val="624" w:hRule="atLeast"/>
        </w:trPr>
        <w:tc>
          <w:tcPr>
            <w:tcW w:type="dxa" w:w="4592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Uniform, PE kit and pronouns</w:t>
              <w:br/>
              <w:t>Agreed uniform/kit options and exception process; names/pronouns approach within bullying and religion/belief considerations. Limits [258, 259, 277, 279].</w:t>
            </w:r>
          </w:p>
        </w:tc>
        <w:tc>
          <w:tcPr>
            <w:tcW w:type="dxa" w:w="4433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[Policy wording; relevant section]</w:t>
            </w:r>
          </w:p>
        </w:tc>
      </w:tr>
      <w:tr>
        <w:trPr>
          <w:cantSplit/>
          <w:trHeight w:val="624" w:hRule="atLeast"/>
        </w:trPr>
        <w:tc>
          <w:tcPr>
            <w:tcW w:type="dxa" w:w="4592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Records and access</w:t>
              <w:br/>
              <w:t>Secure location; authorised roles; who informs relevant staff and how. Limits [74, 261, 263, 282, 104, 105].</w:t>
            </w:r>
          </w:p>
        </w:tc>
        <w:tc>
          <w:tcPr>
            <w:tcW w:type="dxa" w:w="4433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[Location; roles; method]</w:t>
            </w:r>
          </w:p>
        </w:tc>
      </w:tr>
      <w:tr>
        <w:trPr>
          <w:cantSplit/>
          <w:trHeight w:val="624" w:hRule="atLeast"/>
        </w:trPr>
        <w:tc>
          <w:tcPr>
            <w:tcW w:type="dxa" w:w="4592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Moving school</w:t>
              <w:br/>
              <w:t>Case-by-case sharing and review of incoming arrangements. Policy framework section 8; limits [150, 151, 280, 283].</w:t>
            </w:r>
          </w:p>
        </w:tc>
        <w:tc>
          <w:tcPr>
            <w:tcW w:type="dxa" w:w="4433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[Agreed process and responsibility]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pPr>
        <w:pStyle w:val="Heading1"/>
        <w:keepNext/>
        <w:spacing w:before="180" w:after="100"/>
      </w:pPr>
      <w:r>
        <w:rPr>
          <w:rFonts w:ascii="Arial" w:hAnsi="Arial"/>
          <w:b/>
          <w:sz w:val="26"/>
        </w:rPr>
        <w:t>4 Confirm what can be populated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6134"/>
      </w:tblGrid>
      <w:tr>
        <w:trPr>
          <w:tblHeader/>
          <w:cantSplit/>
        </w:trPr>
        <w:tc>
          <w:tcPr>
            <w:tcW w:type="dxa" w:w="2891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Record</w:t>
            </w:r>
          </w:p>
        </w:tc>
        <w:tc>
          <w:tcPr>
            <w:tcW w:type="dxa" w:w="6134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Complete or give a secure record reference</w:t>
            </w:r>
          </w:p>
        </w:tc>
      </w:tr>
      <w:tr>
        <w:trPr>
          <w:cantSplit/>
          <w:trHeight w:val="454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Confirmed by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[Name/role/date; choices authorised for use; unresolved items and owner]</w:t>
            </w:r>
          </w:p>
        </w:tc>
      </w:tr>
      <w:tr>
        <w:trPr>
          <w:cantSplit/>
          <w:trHeight w:val="454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Documents to customise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[All five / list exceptions. Include the Excel tracker if trust details and school names are supplied.]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pPr>
        <w:spacing w:after="60" w:before="0" w:line="245" w:lineRule="auto"/>
      </w:pPr>
      <w:r>
        <w:rPr>
          <w:rFonts w:ascii="Arial" w:hAnsi="Arial"/>
          <w:b w:val="0"/>
          <w:color w:val="5F5E5A"/>
          <w:sz w:val="16"/>
        </w:rPr>
        <w:t>Numeric brackets above identify KCSIE paragraphs cited in the Policy framework; they are not fields to replace. Source: Policy framework, YOUR SCHOOL DECIDES boxes and Appendix B, v0.1 draft.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</w:pPr>
    <w:r>
      <w:rPr>
        <w:rFonts w:ascii="Arial" w:hAnsi="Arial"/>
        <w:b w:val="0"/>
        <w:color w:val="5F5E5A"/>
        <w:sz w:val="15"/>
      </w:rPr>
      <w:t>Draft v0.1 for practitioner testing, not for circulation · Eden Openly</w:t>
    </w:r>
  </w:p>
  <w:p>
    <w:pPr>
      <w:spacing w:after="0"/>
    </w:pPr>
    <w:r>
      <w:rPr>
        <w:rFonts w:ascii="Arial" w:hAnsi="Arial"/>
        <w:b w:val="0"/>
        <w:color w:val="5F5E5A"/>
        <w:sz w:val="15"/>
      </w:rPr>
      <w:t>Identifier to be assigned · CC BY 4.0</w:t>
    </w:r>
    <w:r>
      <w:rPr>
        <w:rFonts w:ascii="Arial" w:hAnsi="Arial"/>
        <w:b w:val="0"/>
        <w:color w:val="5F5E5A"/>
        <w:sz w:val="16"/>
      </w:rPr>
      <w:t xml:space="preserve">     Page </w:t>
    </w:r>
    <w:r/>
    <w:fldSimple w:instr="PAGE"/>
    <w:r>
      <w:rPr>
        <w:rFonts w:ascii="Arial" w:hAnsi="Arial"/>
        <w:b w:val="0"/>
        <w:color w:val="5F5E5A"/>
        <w:sz w:val="16"/>
      </w:rPr>
      <w:t xml:space="preserve"> of </w:t>
    </w:r>
    <w:r/>
    <w:fldSimple w:instr="NUMPAGES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Arial" w:hAnsi="Arial"/>
        <w:b w:val="0"/>
        <w:color w:val="5F5E5A"/>
        <w:sz w:val="16"/>
      </w:rPr>
      <w:t>Eden Openly · KCSIE 2026 · School and trust setup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5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Arial" w:cs="Arial" w:eastAsia="Arial" w:hAnsi="Arial"/>
      <w:b/>
      <w:bCs/>
      <w:sz w:val="36"/>
      <w:szCs w:val="36"/>
    </w:rPr>
  </w:style>
  <w:style w:type="paragraph" w:styleId="Heading1">
    <w:name w:val="Heading 1"/>
    <w:basedOn w:val="Normal"/>
    <w:next w:val="Normal"/>
    <w:qFormat/>
    <w:pPr>
      <w:outlineLvl w:val="0"/>
    </w:pPr>
    <w:rPr>
      <w:rFonts w:ascii="Arial" w:cs="Arial" w:eastAsia="Arial" w:hAnsi="Arial"/>
      <w:b/>
      <w:bCs/>
      <w:color w:val="1D1D1B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and trust customisation worksheet</dc:title>
  <dc:creator>Eden Openly</dc:creator>
  <cp:lastModifiedBy>Un-named</cp:lastModifiedBy>
  <cp:revision>1</cp:revision>
  <dcterms:created xsi:type="dcterms:W3CDTF">2026-09-11T15:44:08.709Z</dcterms:created>
  <dcterms:modified xsi:type="dcterms:W3CDTF">2026-09-11T15:44:08.719Z</dcterms:modified>
  <dc:subject>KCSIE 2026 · Children questioning their gender</dc:subject>
  <dc:description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