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 w:line="245" w:lineRule="auto"/>
      </w:pPr>
      <w:r>
        <w:rPr>
          <w:rFonts w:ascii="Arial" w:hAnsi="Arial"/>
          <w:b/>
          <w:color w:val="9A6A1F"/>
          <w:sz w:val="16"/>
        </w:rPr>
        <w:t>DRAFT v0.1 FOR PRACTITIONER TESTING — NOT FOR CIRCULATION</w:t>
      </w:r>
    </w:p>
    <w:p>
      <w:pPr>
        <w:pStyle w:val="Title"/>
        <w:spacing w:after="100"/>
      </w:pPr>
      <w:r>
        <w:rPr>
          <w:rFonts w:ascii="Arial" w:hAnsi="Arial"/>
          <w:b/>
          <w:sz w:val="36"/>
        </w:rPr>
        <w:t>MAT implementation tracker and trust-level assurance checklist</w:t>
      </w:r>
    </w:p>
    <w:p>
      <w:pPr>
        <w:spacing w:after="140" w:before="0" w:line="245" w:lineRule="auto"/>
      </w:pPr>
      <w:r>
        <w:rPr>
          <w:rFonts w:ascii="Arial" w:hAnsi="Arial"/>
          <w:b w:val="0"/>
          <w:color w:val="5F5E5A"/>
          <w:sz w:val="20"/>
        </w:rPr>
        <w:t>For multi-academy trust safeguarding and education leads, trustees and school leaders in England. Track implementation across schools and use the following pages to record evidence and trust-level follow-up.</w:t>
      </w:r>
    </w:p>
    <w:p>
      <w:pPr>
        <w:spacing w:after="140"/>
      </w:pPr>
      <w:r>
        <w:rPr>
          <w:rFonts w:ascii="Arial" w:hAnsi="Arial"/>
          <w:b/>
          <w:color w:val="8A3324"/>
          <w:sz w:val="15"/>
        </w:rPr>
        <w:t xml:space="preserve">MUST </w:t>
      </w:r>
      <w:r>
        <w:rPr>
          <w:rFonts w:ascii="Arial" w:hAnsi="Arial"/>
          <w:b w:val="0"/>
          <w:color w:val="5F5E5A"/>
          <w:sz w:val="16"/>
        </w:rPr>
        <w:t xml:space="preserve">the law requires it   </w:t>
      </w:r>
      <w:r>
        <w:rPr>
          <w:rFonts w:ascii="Arial" w:hAnsi="Arial"/>
          <w:b/>
          <w:color w:val="1F4E6B"/>
          <w:sz w:val="15"/>
        </w:rPr>
        <w:t xml:space="preserve">SHOULD </w:t>
      </w:r>
      <w:r>
        <w:rPr>
          <w:rFonts w:ascii="Arial" w:hAnsi="Arial"/>
          <w:b w:val="0"/>
          <w:color w:val="5F5E5A"/>
          <w:sz w:val="16"/>
        </w:rPr>
        <w:t xml:space="preserve">follow it unless there is good reason not to   </w:t>
      </w:r>
      <w:r>
        <w:rPr>
          <w:rFonts w:ascii="Arial" w:hAnsi="Arial"/>
          <w:b/>
          <w:color w:val="4A5A2A"/>
          <w:sz w:val="15"/>
        </w:rPr>
        <w:t xml:space="preserve">STATED </w:t>
      </w:r>
      <w:r>
        <w:rPr>
          <w:rFonts w:ascii="Arial" w:hAnsi="Arial"/>
          <w:b w:val="0"/>
          <w:color w:val="5F5E5A"/>
          <w:sz w:val="16"/>
        </w:rPr>
        <w:t xml:space="preserve">what KCSIE says, without “must” or “should”   </w:t>
      </w:r>
      <w:r>
        <w:rPr>
          <w:rFonts w:ascii="Arial" w:hAnsi="Arial"/>
          <w:b/>
          <w:color w:val="72726E"/>
          <w:sz w:val="15"/>
        </w:rPr>
        <w:t xml:space="preserve">GOOD PRACTICE </w:t>
      </w:r>
      <w:r>
        <w:rPr>
          <w:rFonts w:ascii="Arial" w:hAnsi="Arial"/>
          <w:b w:val="0"/>
          <w:color w:val="5F5E5A"/>
          <w:sz w:val="16"/>
        </w:rPr>
        <w:t xml:space="preserve">our suggestion, not from KCSIE   </w:t>
      </w:r>
    </w:p>
    <w:p>
      <w:pPr>
        <w:spacing w:after="120" w:before="0" w:line="245" w:lineRule="auto"/>
      </w:pPr>
      <w:r>
        <w:rPr>
          <w:rFonts w:ascii="Arial" w:hAnsi="Arial"/>
          <w:b w:val="0"/>
          <w:color w:val="5F5E5A"/>
          <w:sz w:val="16"/>
        </w:rPr>
        <w:t>Numbers in brackets are KCSIE paragraphs. Brackets containing words are fields to complete.</w:t>
      </w:r>
    </w:p>
    <w:p>
      <w:pPr>
        <w:spacing w:after="100" w:line="245" w:lineRule="auto"/>
      </w:pPr>
      <w:r>
        <w:rPr>
          <w:rFonts w:ascii="Arial" w:hAnsi="Arial"/>
          <w:b w:val="0"/>
          <w:sz w:val="18"/>
        </w:rPr>
        <w:t xml:space="preserve">The tracker, status definitions, evidence checks and reporting cycle are </w:t>
      </w:r>
      <w:r>
        <w:rPr>
          <w:rFonts w:ascii="Arial" w:hAnsi="Arial"/>
          <w:b/>
          <w:color w:val="72726E"/>
          <w:sz w:val="15"/>
        </w:rPr>
        <w:t>GOOD PRACTICE</w:t>
      </w:r>
      <w:r>
        <w:rPr>
          <w:rFonts w:ascii="Arial" w:hAnsi="Arial"/>
          <w:b w:val="0"/>
          <w:sz w:val="18"/>
        </w:rPr>
        <w:t xml:space="preserve">. They do not replace individual decisions or establish additional statutory deadlines. Keep pupil names and case details out of this trust tracker; use school-level evidence references. </w:t>
      </w:r>
      <w:r>
        <w:rPr>
          <w:rFonts w:ascii="Arial" w:hAnsi="Arial"/>
          <w:b/>
          <w:color w:val="72726E"/>
          <w:sz w:val="15"/>
        </w:rPr>
        <w:t>GOOD PRACTICE</w:t>
      </w:r>
      <w:r>
        <w:rPr>
          <w:rFonts w:ascii="Arial" w:hAnsi="Arial"/>
          <w:b w:val="0"/>
          <w:sz w:val="18"/>
        </w:rPr>
      </w:r>
    </w:p>
    <w:p>
      <w:pPr>
        <w:spacing w:after="100" w:before="0" w:line="245" w:lineRule="auto"/>
      </w:pPr>
      <w:r>
        <w:rPr>
          <w:rFonts w:ascii="Arial" w:hAnsi="Arial"/>
          <w:b w:val="0"/>
          <w:sz w:val="18"/>
        </w:rPr>
        <w:t>Trust: [Name]    Reporting date: [Date]    Trust lead: [Name]    Reporting body: [Body]    Next update: [Date]</w:t>
      </w:r>
    </w:p>
    <w:p>
      <w:pPr>
        <w:spacing w:after="120" w:before="0" w:line="245" w:lineRule="auto"/>
      </w:pPr>
      <w:r>
        <w:rPr>
          <w:rFonts w:ascii="Arial" w:hAnsi="Arial"/>
          <w:b w:val="0"/>
          <w:sz w:val="18"/>
        </w:rPr>
        <w:t>Status: N = not started; W = work in progress; E = evidenced by a dated reference; A = action needed; X = not applicable, with reason. Enter status + evidence ID in each cell. Use the action log for gaps. Completion requires evidence across applicable areas, not a count of ticks.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8"/>
        <w:gridCol w:w="1672"/>
        <w:gridCol w:w="1729"/>
        <w:gridCol w:w="1729"/>
        <w:gridCol w:w="1786"/>
        <w:gridCol w:w="1786"/>
        <w:gridCol w:w="1644"/>
        <w:gridCol w:w="1514"/>
      </w:tblGrid>
      <w:tr>
        <w:trPr>
          <w:tblHeader/>
          <w:cantSplit/>
        </w:trPr>
        <w:tc>
          <w:tcPr>
            <w:tcW w:type="dxa" w:w="2098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School / lead</w:t>
            </w:r>
          </w:p>
        </w:tc>
        <w:tc>
          <w:tcPr>
            <w:tcW w:type="dxa" w:w="1672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Policy / equality</w:t>
            </w:r>
          </w:p>
        </w:tc>
        <w:tc>
          <w:tcPr>
            <w:tcW w:type="dxa" w:w="1729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DSL process / records</w:t>
            </w:r>
          </w:p>
        </w:tc>
        <w:tc>
          <w:tcPr>
            <w:tcW w:type="dxa" w:w="1729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Existing support review</w:t>
            </w:r>
          </w:p>
        </w:tc>
        <w:tc>
          <w:tcPr>
            <w:tcW w:type="dxa" w:w="1786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Facilities / PE / trips</w:t>
            </w:r>
          </w:p>
        </w:tc>
        <w:tc>
          <w:tcPr>
            <w:tcW w:type="dxa" w:w="1786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Staff induction / briefing</w:t>
            </w:r>
          </w:p>
        </w:tc>
        <w:tc>
          <w:tcPr>
            <w:tcW w:type="dxa" w:w="164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Local governance assurance</w:t>
            </w:r>
          </w:p>
        </w:tc>
        <w:tc>
          <w:tcPr>
            <w:tcW w:type="dxa" w:w="151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Overall / action IDs</w:t>
            </w:r>
          </w:p>
        </w:tc>
      </w:tr>
      <w:tr>
        <w:trPr>
          <w:cantSplit/>
          <w:trHeight w:val="482" w:hRule="atLeast"/>
        </w:trPr>
        <w:tc>
          <w:tcPr>
            <w:tcW w:type="dxa" w:w="209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[School; lead]</w:t>
            </w:r>
          </w:p>
        </w:tc>
        <w:tc>
          <w:tcPr>
            <w:tcW w:type="dxa" w:w="167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2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2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8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8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64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51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IDs]</w:t>
            </w:r>
          </w:p>
        </w:tc>
      </w:tr>
      <w:tr>
        <w:trPr>
          <w:cantSplit/>
          <w:trHeight w:val="482" w:hRule="atLeast"/>
        </w:trPr>
        <w:tc>
          <w:tcPr>
            <w:tcW w:type="dxa" w:w="209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[School; lead]</w:t>
            </w:r>
          </w:p>
        </w:tc>
        <w:tc>
          <w:tcPr>
            <w:tcW w:type="dxa" w:w="167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2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2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8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8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64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51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IDs]</w:t>
            </w:r>
          </w:p>
        </w:tc>
      </w:tr>
      <w:tr>
        <w:trPr>
          <w:cantSplit/>
          <w:trHeight w:val="482" w:hRule="atLeast"/>
        </w:trPr>
        <w:tc>
          <w:tcPr>
            <w:tcW w:type="dxa" w:w="209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[School; lead]</w:t>
            </w:r>
          </w:p>
        </w:tc>
        <w:tc>
          <w:tcPr>
            <w:tcW w:type="dxa" w:w="167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2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2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8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8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64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51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IDs]</w:t>
            </w:r>
          </w:p>
        </w:tc>
      </w:tr>
      <w:tr>
        <w:trPr>
          <w:cantSplit/>
          <w:trHeight w:val="482" w:hRule="atLeast"/>
        </w:trPr>
        <w:tc>
          <w:tcPr>
            <w:tcW w:type="dxa" w:w="209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[School; lead]</w:t>
            </w:r>
          </w:p>
        </w:tc>
        <w:tc>
          <w:tcPr>
            <w:tcW w:type="dxa" w:w="167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2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2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8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8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64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51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IDs]</w:t>
            </w:r>
          </w:p>
        </w:tc>
      </w:tr>
      <w:tr>
        <w:trPr>
          <w:cantSplit/>
          <w:trHeight w:val="482" w:hRule="atLeast"/>
        </w:trPr>
        <w:tc>
          <w:tcPr>
            <w:tcW w:type="dxa" w:w="209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[School; lead]</w:t>
            </w:r>
          </w:p>
        </w:tc>
        <w:tc>
          <w:tcPr>
            <w:tcW w:type="dxa" w:w="167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2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2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8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78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64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ID]</w:t>
            </w:r>
          </w:p>
        </w:tc>
        <w:tc>
          <w:tcPr>
            <w:tcW w:type="dxa" w:w="151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[Status; IDs]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100" w:before="0" w:line="245" w:lineRule="auto"/>
      </w:pPr>
      <w:r>
        <w:rPr>
          <w:rFonts w:ascii="Arial" w:hAnsi="Arial"/>
          <w:b w:val="0"/>
          <w:color w:val="5F5E5A"/>
          <w:sz w:val="16"/>
        </w:rPr>
        <w:t>Duplicate rows for additional schools. A school with no earlier support records the dated check and reason for X in that column. Do not report names or numbers that could identify individual pupils. GOOD PRACTICE</w:t>
      </w:r>
    </w:p>
    <w:p>
      <w:pPr>
        <w:spacing w:after="60" w:before="0" w:line="245" w:lineRule="auto"/>
      </w:pPr>
      <w:r>
        <w:rPr>
          <w:rFonts w:ascii="Arial" w:hAnsi="Arial"/>
          <w:b w:val="0"/>
          <w:color w:val="9A6A1F"/>
          <w:sz w:val="18"/>
        </w:rPr>
        <w:t>USE  Page 2 for evidence standards; page 3 for trust assurance and action closure.</w:t>
      </w:r>
    </w:p>
    <w:p>
      <w:r>
        <w:br w:type="page"/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Evidence standards for the school tracker</w:t>
      </w:r>
    </w:p>
    <w:p>
      <w:pPr>
        <w:spacing w:after="100" w:before="0" w:line="245" w:lineRule="auto"/>
      </w:pPr>
      <w:r>
        <w:rPr>
          <w:rFonts w:ascii="Arial" w:hAnsi="Arial"/>
          <w:b w:val="0"/>
          <w:sz w:val="18"/>
        </w:rPr>
        <w:t>Trust: [Name]    Reporting date: [Date]    Evidence register location: [Secure location]</w:t>
      </w:r>
    </w:p>
    <w:p>
      <w:pPr>
        <w:spacing w:after="100" w:line="245" w:lineRule="auto"/>
      </w:pPr>
      <w:r>
        <w:rPr>
          <w:rFonts w:ascii="Arial" w:hAnsi="Arial"/>
          <w:b w:val="0"/>
          <w:sz w:val="18"/>
        </w:rPr>
        <w:t xml:space="preserve">Suggested evidence below is </w:t>
      </w:r>
      <w:r>
        <w:rPr>
          <w:rFonts w:ascii="Arial" w:hAnsi="Arial"/>
          <w:b/>
          <w:color w:val="72726E"/>
          <w:sz w:val="15"/>
        </w:rPr>
        <w:t>GOOD PRACTICE</w:t>
      </w:r>
      <w:r>
        <w:rPr>
          <w:rFonts w:ascii="Arial" w:hAnsi="Arial"/>
          <w:b w:val="0"/>
          <w:sz w:val="18"/>
        </w:rPr>
        <w:t>; the adjacent label and paragraph identify the underlying guidance. Record actual evidence, version and date; do not treat a template’s existence as implementation.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5669"/>
        <w:gridCol w:w="6361"/>
      </w:tblGrid>
      <w:tr>
        <w:trPr>
          <w:tblHeader/>
          <w:cantSplit/>
        </w:trPr>
        <w:tc>
          <w:tcPr>
            <w:tcW w:type="dxa" w:w="1928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Area</w:t>
            </w:r>
          </w:p>
        </w:tc>
        <w:tc>
          <w:tcPr>
            <w:tcW w:type="dxa" w:w="5669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Underlying guidance</w:t>
            </w:r>
          </w:p>
        </w:tc>
        <w:tc>
          <w:tcPr>
            <w:tcW w:type="dxa" w:w="636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Suggested evidence / school record reference</w:t>
            </w:r>
          </w:p>
        </w:tc>
      </w:tr>
      <w:tr>
        <w:trPr>
          <w:cantSplit/>
        </w:trPr>
        <w:tc>
          <w:tcPr>
            <w:tcW w:type="dxa" w:w="19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Policy and equality</w:t>
            </w:r>
          </w:p>
        </w:tc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 xml:space="preserve">Consider whether a policy would best support pupils.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[261]</w:t>
            </w:r>
            <w:r>
              <w:rPr>
                <w:rFonts w:ascii="Arial" w:hAnsi="Arial"/>
                <w:b w:val="0"/>
                <w:sz w:val="19"/>
              </w:rPr>
              <w:t xml:space="preserve"> Specific equality consideration for policy development in state-funded schools. </w:t>
            </w:r>
            <w:r>
              <w:rPr>
                <w:rFonts w:ascii="Arial" w:hAnsi="Arial"/>
                <w:b/>
                <w:color w:val="8A3324"/>
                <w:sz w:val="15"/>
              </w:rPr>
              <w:t>MUST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[101, 102]</w:t>
            </w:r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636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Recorded policy decision; completed school choices; equality record; review/approval evidence under Policy framework Appendix B; version and review date.</w:t>
            </w:r>
          </w:p>
        </w:tc>
      </w:tr>
      <w:tr>
        <w:trPr>
          <w:cantSplit/>
        </w:trPr>
        <w:tc>
          <w:tcPr>
            <w:tcW w:type="dxa" w:w="19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DSL process and records</w:t>
            </w:r>
          </w:p>
        </w:tc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 xml:space="preserve">DSL involvement. </w:t>
            </w:r>
            <w:r>
              <w:rPr>
                <w:rFonts w:ascii="Arial" w:hAnsi="Arial"/>
                <w:b/>
                <w:color w:val="4A5A2A"/>
                <w:sz w:val="15"/>
              </w:rPr>
              <w:t>STATED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[266]</w:t>
            </w:r>
            <w:r>
              <w:rPr>
                <w:rFonts w:ascii="Arial" w:hAnsi="Arial"/>
                <w:b w:val="0"/>
                <w:sz w:val="19"/>
              </w:rPr>
              <w:t xml:space="preserve"> Priority parental engagement and DSL-led greater-risk exception.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[268]</w:t>
            </w:r>
            <w:r>
              <w:rPr>
                <w:rFonts w:ascii="Arial" w:hAnsi="Arial"/>
                <w:b w:val="0"/>
                <w:sz w:val="19"/>
              </w:rPr>
              <w:t xml:space="preserve"> Record decisions and reasons securely.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[261, 263, 74]</w:t>
            </w:r>
            <w:r>
              <w:rPr>
                <w:rFonts w:ascii="Arial" w:hAnsi="Arial"/>
                <w:b w:val="0"/>
                <w:sz w:val="19"/>
              </w:rPr>
              <w:t xml:space="preserve"> Accurate biological sex records. </w:t>
            </w:r>
            <w:r>
              <w:rPr>
                <w:rFonts w:ascii="Arial" w:hAnsi="Arial"/>
                <w:b/>
                <w:color w:val="8A3324"/>
                <w:sz w:val="15"/>
              </w:rPr>
              <w:t>MUST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[282]</w:t>
            </w:r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636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Named routes and decision-maker; A/B/C distinction; blank decision record and secure access process; assurance that practice follows them.</w:t>
            </w:r>
          </w:p>
        </w:tc>
      </w:tr>
      <w:tr>
        <w:trPr>
          <w:cantSplit/>
        </w:trPr>
        <w:tc>
          <w:tcPr>
            <w:tcW w:type="dxa" w:w="19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Existing support review</w:t>
            </w:r>
          </w:p>
        </w:tc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 xml:space="preserve">Consider appropriateness of earlier decisions and impact of change. </w:t>
            </w:r>
            <w:r>
              <w:rPr>
                <w:rFonts w:ascii="Arial" w:hAnsi="Arial"/>
                <w:b/>
                <w:color w:val="4A5A2A"/>
                <w:sz w:val="15"/>
              </w:rPr>
              <w:t>STATED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[281]</w:t>
            </w:r>
            <w:r>
              <w:rPr>
                <w:rFonts w:ascii="Arial" w:hAnsi="Arial"/>
                <w:b w:val="0"/>
                <w:sz w:val="19"/>
              </w:rPr>
              <w:t xml:space="preserve"> Involve DSL immediately in deciding whether to review.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[280]</w:t>
            </w:r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636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Dated school confirmation that existing decisions were considered; review/action evidence without case details; reason where not applicable.</w:t>
            </w:r>
          </w:p>
        </w:tc>
      </w:tr>
      <w:tr>
        <w:trPr>
          <w:cantSplit/>
        </w:trPr>
        <w:tc>
          <w:tcPr>
            <w:tcW w:type="dxa" w:w="19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Facilities, PE and trips</w:t>
            </w:r>
          </w:p>
        </w:tc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 xml:space="preserve">Opposite-sex access limits and single-sex sport safety rule. </w:t>
            </w:r>
            <w:r>
              <w:rPr>
                <w:rFonts w:ascii="Arial" w:hAnsi="Arial"/>
                <w:b/>
                <w:color w:val="8A3324"/>
                <w:sz w:val="15"/>
              </w:rPr>
              <w:t>MUST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[108, 115, 200, 99, 276]</w:t>
            </w:r>
            <w:r>
              <w:rPr>
                <w:rFonts w:ascii="Arial" w:hAnsi="Arial"/>
                <w:b w:val="0"/>
                <w:sz w:val="19"/>
              </w:rPr>
              <w:t xml:space="preserve"> Consider alternatives; assess additional mixed-sex toilet risks.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[111, 117, 202, 113]</w:t>
            </w:r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636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Completed Facilities checklist; site and trip checks; alternatives and relevant risk assessment references; open actions.</w:t>
            </w:r>
          </w:p>
        </w:tc>
      </w:tr>
      <w:tr>
        <w:trPr>
          <w:cantSplit/>
        </w:trPr>
        <w:tc>
          <w:tcPr>
            <w:tcW w:type="dxa" w:w="19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Staff induction and briefing</w:t>
            </w:r>
          </w:p>
        </w:tc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 xml:space="preserve">Safeguarding induction, policies, DSL details and updates at least annually.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[12, 124, 153]</w:t>
            </w:r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636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Dated training and induction records; school-specific staff briefing and induction card; follow-up for staff not yet briefed.</w:t>
            </w:r>
          </w:p>
        </w:tc>
      </w:tr>
      <w:tr>
        <w:trPr>
          <w:cantSplit/>
        </w:trPr>
        <w:tc>
          <w:tcPr>
            <w:tcW w:type="dxa" w:w="1928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Local governance assurance</w:t>
            </w:r>
          </w:p>
        </w:tc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 xml:space="preserve">Core questions in Getting your school ready, step 10; underlying requirements shown above. The assurance form is </w:t>
            </w:r>
            <w:r>
              <w:rPr>
                <w:rFonts w:ascii="Arial" w:hAnsi="Arial"/>
                <w:b/>
                <w:color w:val="72726E"/>
                <w:sz w:val="15"/>
              </w:rPr>
              <w:t>GOOD PRACTICE</w:t>
            </w:r>
            <w:r>
              <w:rPr>
                <w:rFonts w:ascii="Arial" w:hAnsi="Arial"/>
                <w:b w:val="0"/>
                <w:sz w:val="19"/>
              </w:rPr>
              <w:t>.</w:t>
            </w:r>
          </w:p>
        </w:tc>
        <w:tc>
          <w:tcPr>
            <w:tcW w:type="dxa" w:w="636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Completed Governor/trustee assurance checklist; meeting minute; action owners, deadlines and closure evidence.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80" w:before="0" w:line="245" w:lineRule="auto"/>
      </w:pPr>
      <w:r>
        <w:rPr>
          <w:rFonts w:ascii="Arial" w:hAnsi="Arial"/>
          <w:b w:val="0"/>
          <w:color w:val="5F5E5A"/>
          <w:sz w:val="18"/>
        </w:rPr>
        <w:t>Evidence register entry: [ID] · [School/area] · [Document/version/date] · [Secure location] · [Checked by/date] · [Remaining gap/action ID]. GOOD PRACTICE</w:t>
      </w:r>
    </w:p>
    <w:p>
      <w:r>
        <w:br w:type="page"/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Trust-level assurance and action closure</w:t>
      </w:r>
    </w:p>
    <w:p>
      <w:pPr>
        <w:spacing w:after="100" w:line="245" w:lineRule="auto"/>
      </w:pPr>
      <w:r>
        <w:rPr>
          <w:rFonts w:ascii="Arial" w:hAnsi="Arial"/>
          <w:b w:val="0"/>
          <w:sz w:val="18"/>
        </w:rPr>
        <w:t xml:space="preserve">These trust-wide checks and escalation arrangements are </w:t>
      </w:r>
      <w:r>
        <w:rPr>
          <w:rFonts w:ascii="Arial" w:hAnsi="Arial"/>
          <w:b/>
          <w:color w:val="72726E"/>
          <w:sz w:val="15"/>
        </w:rPr>
        <w:t>GOOD PRACTICE</w:t>
      </w:r>
      <w:r>
        <w:rPr>
          <w:rFonts w:ascii="Arial" w:hAnsi="Arial"/>
          <w:b w:val="0"/>
          <w:sz w:val="18"/>
        </w:rPr>
        <w:t>. They support consistent implementation while retaining consideration of each child’s circumstances.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37"/>
        <w:gridCol w:w="6021"/>
      </w:tblGrid>
      <w:tr>
        <w:trPr>
          <w:tblHeader/>
          <w:cantSplit/>
        </w:trPr>
        <w:tc>
          <w:tcPr>
            <w:tcW w:type="dxa" w:w="7937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Trust assurance check</w:t>
            </w:r>
          </w:p>
        </w:tc>
        <w:tc>
          <w:tcPr>
            <w:tcW w:type="dxa" w:w="602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Evidence / status / action ID</w:t>
            </w:r>
          </w:p>
        </w:tc>
      </w:tr>
      <w:tr>
        <w:trPr>
          <w:cantSplit/>
        </w:trPr>
        <w:tc>
          <w:tcPr>
            <w:tcW w:type="dxa" w:w="7937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Named accountability: each school has a request route, decision-maker and DSL involvement; trust oversight and local responsibilities are clear.</w:t>
            </w:r>
          </w:p>
        </w:tc>
        <w:tc>
          <w:tcPr>
            <w:tcW w:type="dxa" w:w="602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[Delegation/role record; status; action ID]</w:t>
            </w:r>
          </w:p>
        </w:tc>
      </w:tr>
      <w:tr>
        <w:trPr>
          <w:cantSplit/>
        </w:trPr>
        <w:tc>
          <w:tcPr>
            <w:tcW w:type="dxa" w:w="7937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Consistent materials: school choices are completed within guidance limits; policy review and approval are recorded; current draft versions and local adaptations are identifiable.</w:t>
            </w:r>
          </w:p>
        </w:tc>
        <w:tc>
          <w:tcPr>
            <w:tcW w:type="dxa" w:w="602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[Version/adoption register; status; action ID]</w:t>
            </w:r>
          </w:p>
        </w:tc>
      </w:tr>
      <w:tr>
        <w:trPr>
          <w:cantSplit/>
        </w:trPr>
        <w:tc>
          <w:tcPr>
            <w:tcW w:type="dxa" w:w="7937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Evidence checked: trust lead has reviewed the school returns and followed up unsupported entries, missing schools and reasons for not applicable.</w:t>
            </w:r>
          </w:p>
        </w:tc>
        <w:tc>
          <w:tcPr>
            <w:tcW w:type="dxa" w:w="602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[Checked by/date; status; action ID]</w:t>
            </w:r>
          </w:p>
        </w:tc>
      </w:tr>
      <w:tr>
        <w:trPr>
          <w:cantSplit/>
        </w:trPr>
        <w:tc>
          <w:tcPr>
            <w:tcW w:type="dxa" w:w="7937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 xml:space="preserve">Ongoing practice: reviews respond to changed needs; bullying concerns and record-sharing arrangements are addressed. Underlying guidance: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[280, 74, 282]</w:t>
            </w:r>
            <w:r>
              <w:rPr>
                <w:rFonts w:ascii="Arial" w:hAnsi="Arial"/>
                <w:b w:val="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8A3324"/>
                <w:sz w:val="15"/>
              </w:rPr>
              <w:t>MUST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[259]</w:t>
            </w:r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602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[Process assurance; status; action ID]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025"/>
        <w:gridCol w:w="1757"/>
        <w:gridCol w:w="1361"/>
        <w:gridCol w:w="2891"/>
        <w:gridCol w:w="3923"/>
      </w:tblGrid>
      <w:tr>
        <w:trPr>
          <w:tblHeader/>
          <w:cantSplit/>
        </w:trPr>
        <w:tc>
          <w:tcPr>
            <w:tcW w:type="dxa" w:w="4025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School / ID / gap and action</w:t>
            </w:r>
          </w:p>
        </w:tc>
        <w:tc>
          <w:tcPr>
            <w:tcW w:type="dxa" w:w="1757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Owner</w:t>
            </w:r>
          </w:p>
        </w:tc>
        <w:tc>
          <w:tcPr>
            <w:tcW w:type="dxa" w:w="136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Due date</w:t>
            </w:r>
          </w:p>
        </w:tc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Escalation / support needed</w:t>
            </w:r>
          </w:p>
        </w:tc>
        <w:tc>
          <w:tcPr>
            <w:tcW w:type="dxa" w:w="3923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Closure evidence / verifier / date</w:t>
            </w:r>
          </w:p>
        </w:tc>
      </w:tr>
      <w:tr>
        <w:trPr>
          <w:cantSplit/>
          <w:trHeight w:val="425" w:hRule="atLeast"/>
        </w:trPr>
        <w:tc>
          <w:tcPr>
            <w:tcW w:type="dxa" w:w="402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[School; ID; action]</w:t>
            </w:r>
          </w:p>
        </w:tc>
        <w:tc>
          <w:tcPr>
            <w:tcW w:type="dxa" w:w="1757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[Name]</w:t>
            </w:r>
          </w:p>
        </w:tc>
        <w:tc>
          <w:tcPr>
            <w:tcW w:type="dxa" w:w="136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[Date]</w:t>
            </w:r>
          </w:p>
        </w:tc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[Role; next step]</w:t>
            </w:r>
          </w:p>
        </w:tc>
        <w:tc>
          <w:tcPr>
            <w:tcW w:type="dxa" w:w="392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[Reference; name; date]</w:t>
            </w:r>
          </w:p>
        </w:tc>
      </w:tr>
      <w:tr>
        <w:trPr>
          <w:cantSplit/>
          <w:trHeight w:val="425" w:hRule="atLeast"/>
        </w:trPr>
        <w:tc>
          <w:tcPr>
            <w:tcW w:type="dxa" w:w="402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[School; ID; action]</w:t>
            </w:r>
          </w:p>
        </w:tc>
        <w:tc>
          <w:tcPr>
            <w:tcW w:type="dxa" w:w="1757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[Name]</w:t>
            </w:r>
          </w:p>
        </w:tc>
        <w:tc>
          <w:tcPr>
            <w:tcW w:type="dxa" w:w="136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[Date]</w:t>
            </w:r>
          </w:p>
        </w:tc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[Role; next step]</w:t>
            </w:r>
          </w:p>
        </w:tc>
        <w:tc>
          <w:tcPr>
            <w:tcW w:type="dxa" w:w="392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[Reference; name; date]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100" w:before="0" w:line="245" w:lineRule="auto"/>
      </w:pPr>
      <w:r>
        <w:rPr>
          <w:rFonts w:ascii="Arial" w:hAnsi="Arial"/>
          <w:b w:val="0"/>
          <w:color w:val="9A6A1F"/>
          <w:sz w:val="18"/>
        </w:rPr>
        <w:t>YOUR TRUST DECIDES: Report unresolved matters to [Role/body] by [Date]; next assurance review [Date]. Overall position: [Evidenced / further work needed]. Trust lead [Name/signature/date]. Trustee/body consideration [Minute/date]. These are local choices, not KCSIE deadlines.</w:t>
      </w:r>
    </w:p>
    <w:p>
      <w:pPr>
        <w:spacing w:after="100" w:before="0" w:line="245" w:lineRule="auto"/>
      </w:pPr>
      <w:r>
        <w:rPr>
          <w:rFonts w:ascii="Arial" w:hAnsi="Arial"/>
          <w:b w:val="0"/>
          <w:color w:val="9A6A1F"/>
          <w:sz w:val="16"/>
        </w:rPr>
        <w:t>USE  Getting your school ready; Policy framework; DSL checklist; Facilities checklist; Existing arrangements review; staff materials. All v0.1 draft. Use with Governor/trustee assurance checklist.</w:t>
      </w:r>
    </w:p>
    <w:p>
      <w:pPr>
        <w:spacing w:after="80" w:before="0" w:line="245" w:lineRule="auto"/>
      </w:pPr>
      <w:r>
        <w:rPr>
          <w:rFonts w:ascii="Arial" w:hAnsi="Arial"/>
          <w:b w:val="0"/>
          <w:color w:val="5F5E5A"/>
          <w:sz w:val="16"/>
        </w:rPr>
        <w:t>This resource summarises statutory guidance for schools in England. It is not legal advice and does not replace KCSIE 2026 or the school’s own policies.</w:t>
      </w:r>
    </w:p>
    <w:sectPr>
      <w:headerReference w:type="default" r:id="rId7"/>
      <w:footerReference w:type="default" r:id="rId8"/>
      <w:pgSz w:w="16838" w:h="11906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rFonts w:ascii="Arial" w:hAnsi="Arial"/>
        <w:b w:val="0"/>
        <w:color w:val="5F5E5A"/>
        <w:sz w:val="15"/>
      </w:rPr>
      <w:t>Draft v0.1 for practitioner testing, not for circulation · Eden Openly</w:t>
    </w:r>
  </w:p>
  <w:p>
    <w:pPr>
      <w:spacing w:after="0"/>
    </w:pPr>
    <w:r>
      <w:rPr>
        <w:rFonts w:ascii="Arial" w:hAnsi="Arial"/>
        <w:b w:val="0"/>
        <w:color w:val="5F5E5A"/>
        <w:sz w:val="15"/>
      </w:rPr>
      <w:t>Identifier to be assigned · CC BY 4.0</w:t>
    </w:r>
    <w:r>
      <w:rPr>
        <w:rFonts w:ascii="Arial" w:hAnsi="Arial"/>
        <w:b w:val="0"/>
        <w:color w:val="5F5E5A"/>
        <w:sz w:val="16"/>
      </w:rPr>
      <w:t xml:space="preserve">     Page </w:t>
    </w:r>
    <w:r/>
    <w:fldSimple w:instr="PAGE"/>
    <w:r>
      <w:rPr>
        <w:rFonts w:ascii="Arial" w:hAnsi="Arial"/>
        <w:b w:val="0"/>
        <w:color w:val="5F5E5A"/>
        <w:sz w:val="16"/>
      </w:rPr>
      <w:t xml:space="preserve"> of </w:t>
    </w:r>
    <w:r/>
    <w:fldSimple w:instr="NUMPAGES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hAnsi="Arial"/>
        <w:b w:val="0"/>
        <w:color w:val="5F5E5A"/>
        <w:sz w:val="16"/>
      </w:rPr>
      <w:t>Eden Openly · KCSIE 2026 · MAT implementation and assurance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Arial" w:cs="Arial" w:eastAsia="Arial" w:hAnsi="Arial"/>
      <w:b/>
      <w:bCs/>
      <w:sz w:val="36"/>
      <w:szCs w:val="36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Arial" w:cs="Arial" w:eastAsia="Arial" w:hAnsi="Arial"/>
      <w:b/>
      <w:bCs/>
      <w:color w:val="1D1D1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 implementation tracker and trust-level assurance checklist</dc:title>
  <dc:creator>Eden Openly</dc:creator>
  <cp:lastModifiedBy>Un-named</cp:lastModifiedBy>
  <cp:revision>1</cp:revision>
  <dcterms:created xsi:type="dcterms:W3CDTF">2026-09-11T15:44:08.709Z</dcterms:created>
  <dcterms:modified xsi:type="dcterms:W3CDTF">2026-09-11T15:44:08.719Z</dcterms:modified>
  <dc:subject>KCSIE 2026 · Children questioning their gender</dc:subject>
  <dc:description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