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 w:line="245" w:lineRule="auto"/>
      </w:pPr>
      <w:r>
        <w:rPr>
          <w:rFonts w:ascii="Arial" w:hAnsi="Arial"/>
          <w:b/>
          <w:color w:val="9A6A1F"/>
          <w:sz w:val="16"/>
        </w:rPr>
        <w:t>DRAFT v0.1 FOR PRACTITIONER TESTING — NOT FOR CIRCULATION</w:t>
      </w:r>
    </w:p>
    <w:p>
      <w:pPr>
        <w:pStyle w:val="Title"/>
        <w:spacing w:after="100"/>
      </w:pPr>
      <w:r>
        <w:rPr>
          <w:rFonts w:ascii="Arial" w:hAnsi="Arial"/>
          <w:b/>
          <w:sz w:val="36"/>
        </w:rPr>
        <w:t>Start Here: children questioning their gender</w:t>
      </w:r>
    </w:p>
    <w:p>
      <w:pPr>
        <w:spacing w:after="140" w:before="0" w:line="245" w:lineRule="auto"/>
      </w:pPr>
      <w:r>
        <w:rPr>
          <w:rFonts w:ascii="Arial" w:hAnsi="Arial"/>
          <w:b w:val="0"/>
          <w:color w:val="5F5E5A"/>
          <w:sz w:val="20"/>
        </w:rPr>
        <w:t>For school and trust leaders in England. This is the deployment guide for the KCSIE 2026 children-questioning-gender toolkit, not a whole-KCSIE compliance checklist.</w:t>
      </w:r>
    </w:p>
    <w:p>
      <w:pPr>
        <w:spacing w:after="140"/>
      </w:pPr>
      <w:r>
        <w:rPr>
          <w:rFonts w:ascii="Arial" w:hAnsi="Arial"/>
          <w:b/>
          <w:color w:val="8A3324"/>
          <w:sz w:val="15"/>
        </w:rPr>
        <w:t xml:space="preserve">MUST </w:t>
      </w:r>
      <w:r>
        <w:rPr>
          <w:rFonts w:ascii="Arial" w:hAnsi="Arial"/>
          <w:b w:val="0"/>
          <w:color w:val="5F5E5A"/>
          <w:sz w:val="16"/>
        </w:rPr>
        <w:t xml:space="preserve">the law requires it   </w:t>
      </w:r>
      <w:r>
        <w:rPr>
          <w:rFonts w:ascii="Arial" w:hAnsi="Arial"/>
          <w:b/>
          <w:color w:val="1F4E6B"/>
          <w:sz w:val="15"/>
        </w:rPr>
        <w:t xml:space="preserve">SHOULD </w:t>
      </w:r>
      <w:r>
        <w:rPr>
          <w:rFonts w:ascii="Arial" w:hAnsi="Arial"/>
          <w:b w:val="0"/>
          <w:color w:val="5F5E5A"/>
          <w:sz w:val="16"/>
        </w:rPr>
        <w:t xml:space="preserve">follow it unless there is good reason not to   </w:t>
      </w:r>
      <w:r>
        <w:rPr>
          <w:rFonts w:ascii="Arial" w:hAnsi="Arial"/>
          <w:b/>
          <w:color w:val="4A5A2A"/>
          <w:sz w:val="15"/>
        </w:rPr>
        <w:t xml:space="preserve">STATED </w:t>
      </w:r>
      <w:r>
        <w:rPr>
          <w:rFonts w:ascii="Arial" w:hAnsi="Arial"/>
          <w:b w:val="0"/>
          <w:color w:val="5F5E5A"/>
          <w:sz w:val="16"/>
        </w:rPr>
        <w:t xml:space="preserve">what KCSIE says, without “must” or “should”   </w:t>
      </w:r>
      <w:r>
        <w:rPr>
          <w:rFonts w:ascii="Arial" w:hAnsi="Arial"/>
          <w:b/>
          <w:color w:val="72726E"/>
          <w:sz w:val="15"/>
        </w:rPr>
        <w:t xml:space="preserve">GOOD PRACTICE </w:t>
      </w:r>
      <w:r>
        <w:rPr>
          <w:rFonts w:ascii="Arial" w:hAnsi="Arial"/>
          <w:b w:val="0"/>
          <w:color w:val="5F5E5A"/>
          <w:sz w:val="16"/>
        </w:rPr>
        <w:t xml:space="preserve">our suggestion, not from KCSIE   </w:t>
      </w:r>
    </w:p>
    <w:p>
      <w:pPr>
        <w:spacing w:after="100" w:line="245" w:lineRule="auto"/>
      </w:pPr>
      <w:r>
        <w:rPr>
          <w:rFonts w:ascii="Arial" w:hAnsi="Arial"/>
          <w:b w:val="0"/>
          <w:sz w:val="18"/>
        </w:rPr>
        <w:t xml:space="preserve">The order, ownership and deployment checks below are </w:t>
      </w:r>
      <w:r>
        <w:rPr>
          <w:rFonts w:ascii="Arial" w:hAnsi="Arial"/>
          <w:b/>
          <w:color w:val="72726E"/>
          <w:sz w:val="15"/>
        </w:rPr>
        <w:t>GOOD PRACTICE</w:t>
      </w:r>
      <w:r>
        <w:rPr>
          <w:rFonts w:ascii="Arial" w:hAnsi="Arial"/>
          <w:b w:val="0"/>
          <w:sz w:val="18"/>
        </w:rPr>
        <w:t xml:space="preserve">. Follow safeguarding procedures immediately where there is a concern.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[58, 59]</w:t>
      </w:r>
      <w:r>
        <w:rPr>
          <w:rFonts w:ascii="Arial" w:hAnsi="Arial"/>
          <w:b w:val="0"/>
          <w:sz w:val="18"/>
        </w:rPr>
        <w:t xml:space="preserve"> Do not wait for rollout to finish.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3628"/>
        <w:gridCol w:w="4535"/>
      </w:tblGrid>
      <w:tr>
        <w:trPr>
          <w:tblHeader/>
          <w:cantSplit/>
        </w:trPr>
        <w:tc>
          <w:tcPr>
            <w:tcW w:type="dxa" w:w="170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Order and lead</w:t>
            </w:r>
          </w:p>
        </w:tc>
        <w:tc>
          <w:tcPr>
            <w:tcW w:type="dxa" w:w="3628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USE these resources</w:t>
            </w:r>
          </w:p>
        </w:tc>
        <w:tc>
          <w:tcPr>
            <w:tcW w:type="dxa" w:w="4535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Customise or approve / ready when</w:t>
            </w:r>
          </w:p>
        </w:tc>
      </w:tr>
      <w:tr>
        <w:trPr>
          <w:cantSplit/>
        </w:trPr>
        <w:tc>
          <w:tcPr>
            <w:tcW w:type="dxa" w:w="170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1 Leadership</w:t>
              <w:br/>
              <w:t>Head / trust lead</w:t>
            </w:r>
          </w:p>
        </w:tc>
        <w:tc>
          <w:tcPr>
            <w:tcW w:type="dxa" w:w="362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Getting your school ready; Governor/trustee assurance checklist; MAT implementation tracker.</w:t>
            </w:r>
          </w:p>
        </w:tc>
        <w:tc>
          <w:tcPr>
            <w:tcW w:type="dxa" w:w="453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Name owners, dates and oversight. Adapt assurance forms to local governance.</w:t>
            </w:r>
          </w:p>
        </w:tc>
      </w:tr>
      <w:tr>
        <w:trPr>
          <w:cantSplit/>
        </w:trPr>
        <w:tc>
          <w:tcPr>
            <w:tcW w:type="dxa" w:w="170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2 Policy</w:t>
              <w:br/>
              <w:t>Head / DSL</w:t>
            </w:r>
          </w:p>
        </w:tc>
        <w:tc>
          <w:tcPr>
            <w:tcW w:type="dxa" w:w="362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Policy framework: supporting children who are questioning their gender.</w:t>
            </w:r>
          </w:p>
        </w:tc>
        <w:tc>
          <w:tcPr>
            <w:tcW w:type="dxa" w:w="453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Complete YOUR SCHOOL DECIDES and equality record. Obtain review and governing body/proprietor approval before adoption, as Appendix B sets out.</w:t>
            </w:r>
          </w:p>
        </w:tc>
      </w:tr>
      <w:tr>
        <w:trPr>
          <w:cantSplit/>
        </w:trPr>
        <w:tc>
          <w:tcPr>
            <w:tcW w:type="dxa" w:w="170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3 Requests</w:t>
              <w:br/>
              <w:t>DSL / decision-maker</w:t>
            </w:r>
          </w:p>
        </w:tc>
        <w:tc>
          <w:tcPr>
            <w:tcW w:type="dxa" w:w="362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A request for support with social transition: a checklist; Individual decision record.</w:t>
            </w:r>
          </w:p>
        </w:tc>
        <w:tc>
          <w:tcPr>
            <w:tcW w:type="dxa" w:w="453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Set routing, decision-maker, secure records, communication and reviews. Complete a separate record for each request.</w:t>
            </w:r>
          </w:p>
        </w:tc>
      </w:tr>
      <w:tr>
        <w:trPr>
          <w:cantSplit/>
        </w:trPr>
        <w:tc>
          <w:tcPr>
            <w:tcW w:type="dxa" w:w="170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4 All staff</w:t>
              <w:br/>
              <w:t>Training lead</w:t>
            </w:r>
          </w:p>
        </w:tc>
        <w:tc>
          <w:tcPr>
            <w:tcW w:type="dxa" w:w="362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20-minute staff briefing; A pupil tells you about their gender: what to do; If a pupil tells you about their gender.</w:t>
            </w:r>
          </w:p>
        </w:tc>
        <w:tc>
          <w:tcPr>
            <w:tcW w:type="dxa" w:w="453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Fill school/presenter details and DSL/deputy contacts. Brief supply, temporary and new staff as well as existing staff.</w:t>
            </w:r>
          </w:p>
        </w:tc>
      </w:tr>
      <w:tr>
        <w:trPr>
          <w:cantSplit/>
        </w:trPr>
        <w:tc>
          <w:tcPr>
            <w:tcW w:type="dxa" w:w="170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5 Facilities</w:t>
              <w:br/>
              <w:t>Site / PE / EVC leads</w:t>
            </w:r>
          </w:p>
        </w:tc>
        <w:tc>
          <w:tcPr>
            <w:tcW w:type="dxa" w:w="362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Toilets, changing rooms, PE and trips: a checklist.</w:t>
            </w:r>
          </w:p>
        </w:tc>
        <w:tc>
          <w:tcPr>
            <w:tcW w:type="dxa" w:w="453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Complete local checks and alternatives. Refer requests through the DSL process; staff do not agree changes themselves.</w:t>
            </w:r>
          </w:p>
        </w:tc>
      </w:tr>
      <w:tr>
        <w:trPr>
          <w:cantSplit/>
        </w:trPr>
        <w:tc>
          <w:tcPr>
            <w:tcW w:type="dxa" w:w="170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6 Existing support</w:t>
              <w:br/>
              <w:t>DSL / head</w:t>
            </w:r>
          </w:p>
        </w:tc>
        <w:tc>
          <w:tcPr>
            <w:tcW w:type="dxa" w:w="362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Support agreed before September 2026: reviewing existing arrangements; Individual decision record.</w:t>
            </w:r>
          </w:p>
        </w:tc>
        <w:tc>
          <w:tcPr>
            <w:tcW w:type="dxa" w:w="453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Consider each existing decision and the impact of any change. Record reasons, communication and review.</w:t>
            </w:r>
          </w:p>
        </w:tc>
      </w:tr>
      <w:tr>
        <w:trPr>
          <w:cantSplit/>
        </w:trPr>
        <w:tc>
          <w:tcPr>
            <w:tcW w:type="dxa" w:w="170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7 Families and pupils</w:t>
              <w:br/>
              <w:t>Case lead</w:t>
            </w:r>
          </w:p>
        </w:tc>
        <w:tc>
          <w:tcPr>
            <w:tcW w:type="dxa" w:w="362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Parent/carer explainer; secondary-age pupil explainer; Parent and outcome communication templates.</w:t>
            </w:r>
          </w:p>
        </w:tc>
        <w:tc>
          <w:tcPr>
            <w:tcW w:type="dxa" w:w="453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Adapt letters to the actual case and policy. Check parental-contact safeguarding position first. Pupil explainer is for secondary-age pupils.</w:t>
            </w:r>
          </w:p>
        </w:tc>
      </w:tr>
      <w:tr>
        <w:trPr>
          <w:cantSplit/>
        </w:trPr>
        <w:tc>
          <w:tcPr>
            <w:tcW w:type="dxa" w:w="170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8 Assurance</w:t>
              <w:br/>
              <w:t>Governors / trust</w:t>
            </w:r>
          </w:p>
        </w:tc>
        <w:tc>
          <w:tcPr>
            <w:tcW w:type="dxa" w:w="362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Governor/trustee assurance checklist; MAT implementation tracker and trust-level assurance checklist.</w:t>
            </w:r>
          </w:p>
        </w:tc>
        <w:tc>
          <w:tcPr>
            <w:tcW w:type="dxa" w:w="453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Review evidence, assign outstanding actions and verify closure. Set the next local review date.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spacing w:after="100" w:line="245" w:lineRule="auto"/>
      </w:pPr>
      <w:r>
        <w:rPr>
          <w:rFonts w:ascii="Arial" w:hAnsi="Arial"/>
          <w:b w:val="0"/>
          <w:sz w:val="18"/>
        </w:rPr>
        <w:t xml:space="preserve">A: confiding only, with no request or safeguarding risk — no reason to break confidence. </w:t>
      </w:r>
      <w:r>
        <w:rPr>
          <w:rFonts w:ascii="Arial" w:hAnsi="Arial"/>
          <w:b/>
          <w:color w:val="4A5A2A"/>
          <w:sz w:val="15"/>
        </w:rPr>
        <w:t>STATED</w:t>
      </w:r>
      <w:r>
        <w:rPr>
          <w:rFonts w:ascii="Arial" w:hAnsi="Arial"/>
          <w:b w:val="0"/>
          <w:color w:val="5F5E5A"/>
          <w:sz w:val="16"/>
        </w:rPr>
        <w:t xml:space="preserve"> [271]</w:t>
      </w:r>
      <w:r>
        <w:rPr>
          <w:rFonts w:ascii="Arial" w:hAnsi="Arial"/>
          <w:b w:val="0"/>
          <w:sz w:val="18"/>
        </w:rPr>
        <w:t xml:space="preserve"> B: safeguarding concern — act immediately and speak to DSL/deputy.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[58, 59]</w:t>
      </w:r>
      <w:r>
        <w:rPr>
          <w:rFonts w:ascii="Arial" w:hAnsi="Arial"/>
          <w:b w:val="0"/>
          <w:sz w:val="18"/>
        </w:rPr>
        <w:t xml:space="preserve"> C: request for change — school process, with DSL and parental involvement as the guidance sets out. </w:t>
      </w:r>
      <w:r>
        <w:rPr>
          <w:rFonts w:ascii="Arial" w:hAnsi="Arial"/>
          <w:b/>
          <w:color w:val="4A5A2A"/>
          <w:sz w:val="15"/>
        </w:rPr>
        <w:t>STATED</w:t>
      </w:r>
      <w:r>
        <w:rPr>
          <w:rFonts w:ascii="Arial" w:hAnsi="Arial"/>
          <w:b w:val="0"/>
          <w:color w:val="5F5E5A"/>
          <w:sz w:val="16"/>
        </w:rPr>
        <w:t xml:space="preserve"> [266]</w:t>
      </w:r>
      <w:r>
        <w:rPr>
          <w:rFonts w:ascii="Arial" w:hAnsi="Arial"/>
          <w:b w:val="0"/>
          <w:sz w:val="18"/>
        </w:rPr>
        <w:t xml:space="preserve">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[268]</w:t>
      </w:r>
      <w:r>
        <w:rPr>
          <w:rFonts w:ascii="Arial" w:hAnsi="Arial"/>
          <w:b w:val="0"/>
          <w:sz w:val="18"/>
        </w:rPr>
      </w:r>
    </w:p>
    <w:p>
      <w:pPr>
        <w:spacing w:after="100" w:line="245" w:lineRule="auto"/>
      </w:pPr>
      <w:r>
        <w:rPr>
          <w:rFonts w:ascii="Arial" w:hAnsi="Arial"/>
          <w:b w:val="0"/>
          <w:sz w:val="18"/>
        </w:rPr>
        <w:t xml:space="preserve">Policy consideration is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[261]</w:t>
      </w:r>
      <w:r>
        <w:rPr>
          <w:rFonts w:ascii="Arial" w:hAnsi="Arial"/>
          <w:b w:val="0"/>
          <w:sz w:val="18"/>
        </w:rPr>
        <w:t xml:space="preserve">; equality consideration for policy development in state-funded schools is </w:t>
      </w:r>
      <w:r>
        <w:rPr>
          <w:rFonts w:ascii="Arial" w:hAnsi="Arial"/>
          <w:b/>
          <w:color w:val="8A3324"/>
          <w:sz w:val="15"/>
        </w:rPr>
        <w:t>MUST</w:t>
      </w:r>
      <w:r>
        <w:rPr>
          <w:rFonts w:ascii="Arial" w:hAnsi="Arial"/>
          <w:b w:val="0"/>
          <w:color w:val="5F5E5A"/>
          <w:sz w:val="16"/>
        </w:rPr>
        <w:t xml:space="preserve"> [101, 102]</w:t>
      </w:r>
      <w:r>
        <w:rPr>
          <w:rFonts w:ascii="Arial" w:hAnsi="Arial"/>
          <w:b w:val="0"/>
          <w:sz w:val="18"/>
        </w:rPr>
        <w:t xml:space="preserve">. Local approval steps above follow the Policy framework. KCSIE sets no timescale for request decisions; set one locally. </w:t>
      </w:r>
      <w:r>
        <w:rPr>
          <w:rFonts w:ascii="Arial" w:hAnsi="Arial"/>
          <w:b/>
          <w:color w:val="72726E"/>
          <w:sz w:val="15"/>
        </w:rPr>
        <w:t>GOOD PRACTICE</w:t>
      </w:r>
      <w:r>
        <w:rPr>
          <w:rFonts w:ascii="Arial" w:hAnsi="Arial"/>
          <w:b w:val="0"/>
          <w:sz w:val="18"/>
        </w:rPr>
      </w:r>
    </w:p>
    <w:p>
      <w:pPr>
        <w:spacing w:after="60" w:before="0" w:line="245" w:lineRule="auto"/>
      </w:pPr>
      <w:r>
        <w:rPr>
          <w:rFonts w:ascii="Arial" w:hAnsi="Arial"/>
          <w:b w:val="0"/>
          <w:color w:val="5F5E5A"/>
          <w:sz w:val="16"/>
        </w:rPr>
        <w:t>Working copies: complete word-bracket fields; retain numeric citations. Keep MUST / SHOULD / STATED distinct from GOOD PRACTICE and school/trust choices. Use all resources alongside KCSIE 2026 and local policies. The toolkit remains draft v0.1 for practitioner testing; it is not legal advice.</w:t>
      </w:r>
    </w:p>
    <w:sectPr>
      <w:headerReference w:type="default" r:id="rId7"/>
      <w:footerReference w:type="default" r:id="rId8"/>
      <w:pgSz w:w="11906" w:h="16838" w:orient="portrait"/>
      <w:pgMar w:top="1020" w:right="1020" w:bottom="1020" w:left="10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rFonts w:ascii="Arial" w:hAnsi="Arial"/>
        <w:b w:val="0"/>
        <w:color w:val="5F5E5A"/>
        <w:sz w:val="15"/>
      </w:rPr>
      <w:t>Draft v0.1 for practitioner testing, not for circulation · Eden Openly</w:t>
    </w:r>
  </w:p>
  <w:p>
    <w:pPr>
      <w:spacing w:after="0"/>
    </w:pPr>
    <w:r>
      <w:rPr>
        <w:rFonts w:ascii="Arial" w:hAnsi="Arial"/>
        <w:b w:val="0"/>
        <w:color w:val="5F5E5A"/>
        <w:sz w:val="15"/>
      </w:rPr>
      <w:t>Identifier to be assigned · CC BY 4.0</w:t>
    </w:r>
    <w:r>
      <w:rPr>
        <w:rFonts w:ascii="Arial" w:hAnsi="Arial"/>
        <w:b w:val="0"/>
        <w:color w:val="5F5E5A"/>
        <w:sz w:val="16"/>
      </w:rPr>
      <w:t xml:space="preserve">     Page </w:t>
    </w:r>
    <w:r/>
    <w:fldSimple w:instr="PAGE"/>
    <w:r>
      <w:rPr>
        <w:rFonts w:ascii="Arial" w:hAnsi="Arial"/>
        <w:b w:val="0"/>
        <w:color w:val="5F5E5A"/>
        <w:sz w:val="16"/>
      </w:rPr>
      <w:t xml:space="preserve"> of </w:t>
    </w:r>
    <w:r/>
    <w:fldSimple w:instr="NUMPAGES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Arial" w:hAnsi="Arial"/>
        <w:b w:val="0"/>
        <w:color w:val="5F5E5A"/>
        <w:sz w:val="16"/>
      </w:rPr>
      <w:t>Eden Openly · KCSIE 2026 · Toolkit deployment guide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Arial" w:cs="Arial" w:eastAsia="Arial" w:hAnsi="Arial"/>
      <w:b/>
      <w:bCs/>
      <w:sz w:val="36"/>
      <w:szCs w:val="36"/>
    </w:rPr>
  </w:style>
  <w:style w:type="paragraph" w:styleId="Heading1">
    <w:name w:val="Heading 1"/>
    <w:basedOn w:val="Normal"/>
    <w:next w:val="Normal"/>
    <w:qFormat/>
    <w:pPr>
      <w:outlineLvl w:val="0"/>
    </w:pPr>
    <w:rPr>
      <w:rFonts w:ascii="Arial" w:cs="Arial" w:eastAsia="Arial" w:hAnsi="Arial"/>
      <w:b/>
      <w:bCs/>
      <w:color w:val="1D1D1B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 Here: children questioning their gender</dc:title>
  <dc:creator>Eden Openly</dc:creator>
  <cp:lastModifiedBy>Un-named</cp:lastModifiedBy>
  <cp:revision>1</cp:revision>
  <dcterms:created xsi:type="dcterms:W3CDTF">2026-09-11T15:44:08.709Z</dcterms:created>
  <dcterms:modified xsi:type="dcterms:W3CDTF">2026-09-11T15:44:08.719Z</dcterms:modified>
  <dc:subject>KCSIE 2026 · Children questioning their gender</dc:subject>
  <dc:description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