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 w:line="245" w:lineRule="auto"/>
      </w:pPr>
      <w:r>
        <w:rPr>
          <w:rFonts w:ascii="Arial" w:hAnsi="Arial"/>
          <w:b/>
          <w:color w:val="9A6A1F"/>
          <w:sz w:val="16"/>
        </w:rPr>
        <w:t>DRAFT v0.1 FOR PRACTITIONER TESTING — NOT FOR CIRCULATION</w:t>
      </w:r>
    </w:p>
    <w:p>
      <w:pPr>
        <w:pStyle w:val="Title"/>
        <w:spacing w:after="100"/>
      </w:pPr>
      <w:r>
        <w:rPr>
          <w:rFonts w:ascii="Arial" w:hAnsi="Arial"/>
          <w:b/>
          <w:sz w:val="36"/>
        </w:rPr>
        <w:t>Requests for support with social transition: individual decision record</w:t>
      </w:r>
    </w:p>
    <w:p>
      <w:pPr>
        <w:spacing w:after="140" w:before="0" w:line="245" w:lineRule="auto"/>
      </w:pPr>
      <w:r>
        <w:rPr>
          <w:rFonts w:ascii="Arial" w:hAnsi="Arial"/>
          <w:b w:val="0"/>
          <w:color w:val="5F5E5A"/>
          <w:sz w:val="20"/>
        </w:rPr>
        <w:t>For designated safeguarding leads (DSLs) and school leaders in England. Use with A request for support with social transition: a checklist. Record the reasons for this child’s decision, not only that a step was completed.</w:t>
      </w:r>
    </w:p>
    <w:p>
      <w:pPr>
        <w:spacing w:after="140"/>
      </w:pPr>
      <w:r>
        <w:rPr>
          <w:rFonts w:ascii="Arial" w:hAnsi="Arial"/>
          <w:b/>
          <w:color w:val="8A3324"/>
          <w:sz w:val="15"/>
        </w:rPr>
        <w:t xml:space="preserve">MUST </w:t>
      </w:r>
      <w:r>
        <w:rPr>
          <w:rFonts w:ascii="Arial" w:hAnsi="Arial"/>
          <w:b w:val="0"/>
          <w:color w:val="5F5E5A"/>
          <w:sz w:val="16"/>
        </w:rPr>
        <w:t xml:space="preserve">the law requires it   </w:t>
      </w:r>
      <w:r>
        <w:rPr>
          <w:rFonts w:ascii="Arial" w:hAnsi="Arial"/>
          <w:b/>
          <w:color w:val="1F4E6B"/>
          <w:sz w:val="15"/>
        </w:rPr>
        <w:t xml:space="preserve">SHOULD </w:t>
      </w:r>
      <w:r>
        <w:rPr>
          <w:rFonts w:ascii="Arial" w:hAnsi="Arial"/>
          <w:b w:val="0"/>
          <w:color w:val="5F5E5A"/>
          <w:sz w:val="16"/>
        </w:rPr>
        <w:t xml:space="preserve">follow it unless there is good reason not to   </w:t>
      </w:r>
      <w:r>
        <w:rPr>
          <w:rFonts w:ascii="Arial" w:hAnsi="Arial"/>
          <w:b/>
          <w:color w:val="4A5A2A"/>
          <w:sz w:val="15"/>
        </w:rPr>
        <w:t xml:space="preserve">STATED </w:t>
      </w:r>
      <w:r>
        <w:rPr>
          <w:rFonts w:ascii="Arial" w:hAnsi="Arial"/>
          <w:b w:val="0"/>
          <w:color w:val="5F5E5A"/>
          <w:sz w:val="16"/>
        </w:rPr>
        <w:t xml:space="preserve">what KCSIE says, without “must” or “should”   </w:t>
      </w:r>
      <w:r>
        <w:rPr>
          <w:rFonts w:ascii="Arial" w:hAnsi="Arial"/>
          <w:b/>
          <w:color w:val="72726E"/>
          <w:sz w:val="15"/>
        </w:rPr>
        <w:t xml:space="preserve">GOOD PRACTICE </w:t>
      </w:r>
      <w:r>
        <w:rPr>
          <w:rFonts w:ascii="Arial" w:hAnsi="Arial"/>
          <w:b w:val="0"/>
          <w:color w:val="5F5E5A"/>
          <w:sz w:val="16"/>
        </w:rPr>
        <w:t xml:space="preserve">our suggestion, not from KCSIE   </w:t>
      </w:r>
    </w:p>
    <w:p>
      <w:pPr>
        <w:spacing w:after="120" w:before="0" w:line="245" w:lineRule="auto"/>
      </w:pPr>
      <w:r>
        <w:rPr>
          <w:rFonts w:ascii="Arial" w:hAnsi="Arial"/>
          <w:b w:val="0"/>
          <w:color w:val="5F5E5A"/>
          <w:sz w:val="16"/>
        </w:rPr>
        <w:t>Numbers in brackets are KCSIE paragraphs. Brackets containing words are fields to complete.</w:t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Document the decision-making process and keep records, including reasons.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[261, 263, 74]</w:t>
      </w:r>
      <w:r>
        <w:rPr>
          <w:rFonts w:ascii="Arial" w:hAnsi="Arial"/>
          <w:b w:val="0"/>
          <w:sz w:val="20"/>
        </w:rPr>
        <w:t xml:space="preserve"> The form and its prompts are </w:t>
      </w:r>
      <w:r>
        <w:rPr>
          <w:rFonts w:ascii="Arial" w:hAnsi="Arial"/>
          <w:b/>
          <w:color w:val="72726E"/>
          <w:sz w:val="15"/>
        </w:rPr>
        <w:t>GOOD PRACTICE</w:t>
      </w:r>
      <w:r>
        <w:rPr>
          <w:rFonts w:ascii="Arial" w:hAnsi="Arial"/>
          <w:b w:val="0"/>
          <w:sz w:val="20"/>
        </w:rPr>
        <w:t>. Expand cells or attach a dated continuation; record where each supporting document is held.</w:t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1 Is this a request for support?</w:t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A request asks the school to make changes or put support in place so a child can present as the opposite biological sex. </w:t>
      </w:r>
      <w:r>
        <w:rPr>
          <w:rFonts w:ascii="Arial" w:hAnsi="Arial"/>
          <w:b/>
          <w:color w:val="4A5A2A"/>
          <w:sz w:val="15"/>
        </w:rPr>
        <w:t>STATED</w:t>
      </w:r>
      <w:r>
        <w:rPr>
          <w:rFonts w:ascii="Arial" w:hAnsi="Arial"/>
          <w:b w:val="0"/>
          <w:color w:val="5F5E5A"/>
          <w:sz w:val="16"/>
        </w:rPr>
        <w:t xml:space="preserve"> [260]</w:t>
      </w:r>
      <w:r>
        <w:rPr>
          <w:rFonts w:ascii="Arial" w:hAnsi="Arial"/>
          <w:b w:val="0"/>
          <w:sz w:val="20"/>
        </w:rPr>
        <w:t xml:space="preserve"> Confiding without asking for change does not trigger this process; there is no reason to break confidence unless there is a related safeguarding risk. </w:t>
      </w:r>
      <w:r>
        <w:rPr>
          <w:rFonts w:ascii="Arial" w:hAnsi="Arial"/>
          <w:b/>
          <w:color w:val="4A5A2A"/>
          <w:sz w:val="15"/>
        </w:rPr>
        <w:t>STATED</w:t>
      </w:r>
      <w:r>
        <w:rPr>
          <w:rFonts w:ascii="Arial" w:hAnsi="Arial"/>
          <w:b w:val="0"/>
          <w:color w:val="5F5E5A"/>
          <w:sz w:val="16"/>
        </w:rPr>
        <w:t xml:space="preserve"> [271]</w:t>
      </w:r>
      <w:r>
        <w:rPr>
          <w:rFonts w:ascii="Arial" w:hAnsi="Arial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397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School / child / case reference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[School; child; case reference; date of birth or age; year group]</w:t>
            </w:r>
          </w:p>
        </w:tc>
      </w:tr>
      <w:tr>
        <w:trPr>
          <w:cantSplit/>
          <w:trHeight w:val="397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Request received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[Date; who made the request; staff member receiving it; exact changes requested]</w:t>
            </w:r>
          </w:p>
        </w:tc>
      </w:tr>
      <w:tr>
        <w:trPr>
          <w:cantSplit/>
          <w:trHeight w:val="397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Route and immediate action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[Request confirmed / confiding only / safeguarding concern; reasons and action; DSL or deputy involved and when]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Act on safeguarding concerns immediately, following the child protection policy and speaking to the DSL or deputy.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[58, 59]</w:t>
      </w:r>
      <w:r>
        <w:rPr>
          <w:rFonts w:ascii="Arial" w:hAnsi="Arial"/>
          <w:b w:val="0"/>
          <w:sz w:val="20"/>
        </w:rPr>
        <w:t xml:space="preserve"> The school should not initiate action on social transition; staff should not adopt changes before a decision and parental involvement as set out in the guidance.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[255, 260]</w:t>
      </w:r>
      <w:r>
        <w:rPr>
          <w:rFonts w:ascii="Arial" w:hAnsi="Arial"/>
          <w:b w:val="0"/>
          <w:sz w:val="20"/>
        </w:rPr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2 Before parents or carers are contacted</w:t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Engage parents or carers as a priority. Only where involving them would be a greater risk to the child than not involving them should the DSL determine safeguarding action before contact or any decision.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[268]</w:t>
      </w:r>
      <w:r>
        <w:rPr>
          <w:rFonts w:ascii="Arial" w:hAnsi="Arial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567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Parental involvement and risk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[Parents/carers to involve; child’s views on contact; any greater-risk concern and evidence; DSL’s determination, reasons, actions and date before contact or decision]</w:t>
            </w:r>
          </w:p>
        </w:tc>
      </w:tr>
      <w:tr>
        <w:trPr>
          <w:cantSplit/>
          <w:trHeight w:val="567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Contact and support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[Who contacted whom, when and how; outcome; support offered for conversations under paragraph 270; next action and owner]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tblHeader/>
          <w:cantSplit/>
        </w:trPr>
        <w:tc>
          <w:tcPr>
            <w:tcW w:type="dxa" w:w="9026"/>
            <w:shd w:fill="EFEADD"/>
            <w:vAlign w:val="top"/>
            <w:tcBorders>
              <w:top w:val="single" w:sz="4" w:color="C9C4B8"/>
              <w:left w:val="single" w:sz="16" w:color="9A6A1F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  <w:shd w:fill="F5F1E7"/>
          </w:tcPr>
          <w:p>
            <w:pPr>
              <w:spacing w:after="40" w:before="0" w:line="240" w:lineRule="auto"/>
            </w:pPr>
            <w:r>
              <w:rPr>
                <w:b/>
                <w:color w:val="9A6A1F"/>
              </w:rPr>
            </w:r>
            <w:r>
              <w:rPr>
                <w:rFonts w:ascii="Arial" w:hAnsi="Arial"/>
                <w:b/>
                <w:color w:val="9A6A1F"/>
                <w:sz w:val="19"/>
              </w:rPr>
              <w:t>YOUR SCHOOL DECIDES: Who decides and when</w:t>
            </w:r>
          </w:p>
        </w:tc>
      </w:tr>
      <w:tr>
        <w:trPr>
          <w:cantSplit/>
        </w:trPr>
        <w:tc>
          <w:tcPr>
            <w:tcW w:type="dxa" w:w="9026"/>
            <w:vAlign w:val="top"/>
            <w:tcBorders>
              <w:top w:val="single" w:sz="4" w:color="C9C4B8"/>
              <w:left w:val="single" w:sz="16" w:color="9A6A1F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  <w:shd w:fill="F5F1E7"/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Decision-maker: [Role/name] · DSL: [Name] · Target date: [Date]. KCSIE sets no decision timescale. Use the school’s agreed process; local targets do not delay safeguarding action. Limits: [265, 268, 261, 263].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r>
        <w:br w:type="page"/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3 The child’s views and evidence considered</w:t>
      </w:r>
    </w:p>
    <w:p>
      <w:pPr>
        <w:spacing w:after="120" w:before="0" w:line="245" w:lineRule="auto"/>
      </w:pPr>
      <w:r>
        <w:rPr>
          <w:rFonts w:ascii="Arial" w:hAnsi="Arial"/>
          <w:b w:val="0"/>
          <w:color w:val="5F5E5A"/>
          <w:sz w:val="16"/>
        </w:rPr>
        <w:t>School: [School name]    Child / case reference: [Reference]    Date: [Date]</w:t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Take time to understand the child’s thoughts and feelings and possible vulnerabilities, including mental health and psychosocial needs and discriminatory bullying.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[257]</w:t>
      </w:r>
      <w:r>
        <w:rPr>
          <w:rFonts w:ascii="Arial" w:hAnsi="Arial"/>
          <w:b w:val="0"/>
          <w:sz w:val="20"/>
        </w:rPr>
        <w:t xml:space="preserve"> Consider everything that could be affecting the child, including wider health issues or neurodiversity.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[266]</w:t>
      </w:r>
      <w:r>
        <w:rPr>
          <w:rFonts w:ascii="Arial" w:hAnsi="Arial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85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Child’s views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[What the child asks for; their own words where helpful; wishes, feelings, concerns; date and how their views were heard]</w:t>
            </w:r>
          </w:p>
        </w:tc>
      </w:tr>
      <w:tr>
        <w:trPr>
          <w:cantSplit/>
          <w:trHeight w:val="85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Parents’ or carers’ views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[Each person’s views; date; how these have been properly considered and given great weight; cross-reference any paragraph 268 safeguarding determination]</w:t>
            </w:r>
          </w:p>
        </w:tc>
      </w:tr>
      <w:tr>
        <w:trPr>
          <w:cantSplit/>
          <w:trHeight w:val="85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Wider circumstances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[Relevant health, neurodiversity, psychosocial needs, bullying or other vulnerabilities; evidence and support needs, without assumptions]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Work with parents, consider any clinical evidence or advice, seek non-clinical professional advice where relevant (for example from the SENCO), and involve the DSL. </w:t>
      </w:r>
      <w:r>
        <w:rPr>
          <w:rFonts w:ascii="Arial" w:hAnsi="Arial"/>
          <w:b/>
          <w:color w:val="4A5A2A"/>
          <w:sz w:val="15"/>
        </w:rPr>
        <w:t>STATED</w:t>
      </w:r>
      <w:r>
        <w:rPr>
          <w:rFonts w:ascii="Arial" w:hAnsi="Arial"/>
          <w:b w:val="0"/>
          <w:color w:val="5F5E5A"/>
          <w:sz w:val="16"/>
        </w:rPr>
        <w:t xml:space="preserve"> [266]</w:t>
      </w:r>
      <w:r>
        <w:rPr>
          <w:rFonts w:ascii="Arial" w:hAnsi="Arial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05"/>
        <w:gridCol w:w="3005"/>
        <w:gridCol w:w="3016"/>
      </w:tblGrid>
      <w:tr>
        <w:trPr>
          <w:tblHeader/>
          <w:cantSplit/>
        </w:trPr>
        <w:tc>
          <w:tcPr>
            <w:tcW w:type="dxa" w:w="3005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Evidence or advice and date</w:t>
            </w:r>
          </w:p>
        </w:tc>
        <w:tc>
          <w:tcPr>
            <w:tcW w:type="dxa" w:w="3005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Who provided it / secure reference</w:t>
            </w:r>
          </w:p>
        </w:tc>
        <w:tc>
          <w:tcPr>
            <w:tcW w:type="dxa" w:w="3016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Relevance to this decision</w:t>
            </w:r>
          </w:p>
        </w:tc>
      </w:tr>
      <w:tr>
        <w:trPr>
          <w:cantSplit/>
          <w:trHeight w:val="567" w:hRule="atLeast"/>
        </w:trPr>
        <w:tc>
          <w:tcPr>
            <w:tcW w:type="dxa" w:w="300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[Document or discussion]</w:t>
            </w:r>
          </w:p>
        </w:tc>
        <w:tc>
          <w:tcPr>
            <w:tcW w:type="dxa" w:w="300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[Role; reference]</w:t>
            </w:r>
          </w:p>
        </w:tc>
        <w:tc>
          <w:tcPr>
            <w:tcW w:type="dxa" w:w="301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[What it informs; any uncertainty]</w:t>
            </w:r>
          </w:p>
        </w:tc>
      </w:tr>
      <w:tr>
        <w:trPr>
          <w:cantSplit/>
          <w:trHeight w:val="567" w:hRule="atLeast"/>
        </w:trPr>
        <w:tc>
          <w:tcPr>
            <w:tcW w:type="dxa" w:w="300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[Document or discussion]</w:t>
            </w:r>
          </w:p>
        </w:tc>
        <w:tc>
          <w:tcPr>
            <w:tcW w:type="dxa" w:w="3005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[Role; reference]</w:t>
            </w:r>
          </w:p>
        </w:tc>
        <w:tc>
          <w:tcPr>
            <w:tcW w:type="dxa" w:w="3016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[What it informs; any uncertainty]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4 Age and particular vulnerabilities</w:t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For primary-aged children, be particularly conscious of safeguarding concerns and exercise particular caution.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[267, 273]</w:t>
      </w:r>
      <w:r>
        <w:rPr>
          <w:rFonts w:ascii="Arial" w:hAnsi="Arial"/>
          <w:b w:val="0"/>
          <w:sz w:val="20"/>
        </w:rPr>
        <w:t xml:space="preserve"> Full social transition is expected to be agreed very rarely; staff without appropriate clinical training do not advise on its risks and benefits. </w:t>
      </w:r>
      <w:r>
        <w:rPr>
          <w:rFonts w:ascii="Arial" w:hAnsi="Arial"/>
          <w:b/>
          <w:color w:val="4A5A2A"/>
          <w:sz w:val="15"/>
        </w:rPr>
        <w:t>STATED</w:t>
      </w:r>
      <w:r>
        <w:rPr>
          <w:rFonts w:ascii="Arial" w:hAnsi="Arial"/>
          <w:b w:val="0"/>
          <w:color w:val="5F5E5A"/>
          <w:sz w:val="16"/>
        </w:rPr>
        <w:t xml:space="preserve"> [273]</w:t>
      </w:r>
      <w:r>
        <w:rPr>
          <w:rFonts w:ascii="Arial" w:hAnsi="Arial"/>
          <w:b w:val="0"/>
          <w:sz w:val="20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Older children will generally have greater agency; keeping options open and flexible helps avoid pressure to commit to a potentially irrevocable pathway when young. </w:t>
      </w:r>
      <w:r>
        <w:rPr>
          <w:rFonts w:ascii="Arial" w:hAnsi="Arial"/>
          <w:b/>
          <w:color w:val="4A5A2A"/>
          <w:sz w:val="15"/>
        </w:rPr>
        <w:t>STATED</w:t>
      </w:r>
      <w:r>
        <w:rPr>
          <w:rFonts w:ascii="Arial" w:hAnsi="Arial"/>
          <w:b w:val="0"/>
          <w:color w:val="5F5E5A"/>
          <w:sz w:val="16"/>
        </w:rPr>
        <w:t xml:space="preserve"> [274]</w:t>
      </w:r>
      <w:r>
        <w:rPr>
          <w:rFonts w:ascii="Arial" w:hAnsi="Arial"/>
          <w:b w:val="0"/>
          <w:sz w:val="20"/>
        </w:rPr>
        <w:t xml:space="preserve"> Be particularly conscious of the vulnerabilities of a child who may be living in stealth, and involve the DSL.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[283]</w:t>
      </w:r>
      <w:r>
        <w:rPr>
          <w:rFonts w:ascii="Arial" w:hAnsi="Arial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68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Application to this child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[Age-specific considerations; how caution or flexibility informs the response; any relevant vulnerabilities and DSL involvement; note if not applicable]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r>
        <w:br w:type="page"/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5 Best interests, equality and the available options</w:t>
      </w:r>
    </w:p>
    <w:p>
      <w:pPr>
        <w:spacing w:after="120" w:before="0" w:line="245" w:lineRule="auto"/>
      </w:pPr>
      <w:r>
        <w:rPr>
          <w:rFonts w:ascii="Arial" w:hAnsi="Arial"/>
          <w:b w:val="0"/>
          <w:color w:val="5F5E5A"/>
          <w:sz w:val="16"/>
        </w:rPr>
        <w:t>School: [School name]    Child / case reference: [Reference]    Date: [Date]</w:t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Start from the best interests of the child and other children; the decision may differ from the child’s wishes. </w:t>
      </w:r>
      <w:r>
        <w:rPr>
          <w:rFonts w:ascii="Arial" w:hAnsi="Arial"/>
          <w:b/>
          <w:color w:val="4A5A2A"/>
          <w:sz w:val="15"/>
        </w:rPr>
        <w:t>STATED</w:t>
      </w:r>
      <w:r>
        <w:rPr>
          <w:rFonts w:ascii="Arial" w:hAnsi="Arial"/>
          <w:b w:val="0"/>
          <w:color w:val="5F5E5A"/>
          <w:sz w:val="16"/>
        </w:rPr>
        <w:t xml:space="preserve"> [265]</w:t>
      </w:r>
      <w:r>
        <w:rPr>
          <w:rFonts w:ascii="Arial" w:hAnsi="Arial"/>
          <w:b w:val="0"/>
          <w:sz w:val="20"/>
        </w:rPr>
        <w:t xml:space="preserve"> Consider the impact on everyone affected and take a very careful approach: social transition is an active intervention.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[264, 272]</w:t>
      </w:r>
      <w:r>
        <w:rPr>
          <w:rFonts w:ascii="Arial" w:hAnsi="Arial"/>
          <w:b w:val="0"/>
          <w:sz w:val="20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Comply with safeguarding legislation and equality and human rights law. </w:t>
      </w:r>
      <w:r>
        <w:rPr>
          <w:rFonts w:ascii="Arial" w:hAnsi="Arial"/>
          <w:b/>
          <w:color w:val="8A3324"/>
          <w:sz w:val="15"/>
        </w:rPr>
        <w:t>MUST</w:t>
      </w:r>
      <w:r>
        <w:rPr>
          <w:rFonts w:ascii="Arial" w:hAnsi="Arial"/>
          <w:b w:val="0"/>
          <w:color w:val="5F5E5A"/>
          <w:sz w:val="16"/>
        </w:rPr>
        <w:t xml:space="preserve"> [262, 275]</w:t>
      </w:r>
      <w:r>
        <w:rPr>
          <w:rFonts w:ascii="Arial" w:hAnsi="Arial"/>
          <w:b w:val="0"/>
          <w:sz w:val="20"/>
        </w:rPr>
        <w:t xml:space="preserve"> State-funded schools must specifically consider equality implications when significant decisions are made. </w:t>
      </w:r>
      <w:r>
        <w:rPr>
          <w:rFonts w:ascii="Arial" w:hAnsi="Arial"/>
          <w:b/>
          <w:color w:val="8A3324"/>
          <w:sz w:val="15"/>
        </w:rPr>
        <w:t>MUST</w:t>
      </w:r>
      <w:r>
        <w:rPr>
          <w:rFonts w:ascii="Arial" w:hAnsi="Arial"/>
          <w:b w:val="0"/>
          <w:color w:val="5F5E5A"/>
          <w:sz w:val="16"/>
        </w:rPr>
        <w:t xml:space="preserve"> [101, 102]</w:t>
      </w:r>
      <w:r>
        <w:rPr>
          <w:rFonts w:ascii="Arial" w:hAnsi="Arial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794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Options and effects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[Each option; child’s best interests; impact on other children; evidence and reasons for preferring or rejecting it]</w:t>
            </w:r>
          </w:p>
        </w:tc>
      </w:tr>
      <w:tr>
        <w:trPr>
          <w:cantSplit/>
          <w:trHeight w:val="794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Equality and human rights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[Relevant rights and protected characteristics; evidence and views; possible disadvantage; steps to reduce it; decision and reasons]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If a rule disadvantages gender-questioning children, consider its legitimate aim, proportionality and whether an exception could still achieve that aim.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[277]</w:t>
      </w:r>
      <w:r>
        <w:rPr>
          <w:rFonts w:ascii="Arial" w:hAnsi="Arial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51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Rule or policy considered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[Rule; disadvantage; legitimate aim; proportionality; exception considered within the limits below; reasons, or not applicable]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6 Facilities, PE and overnight arrangements</w:t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No access to opposite-sex toilets or, when supporting social transition, opposite-sex changing rooms; no child aged 11 or older at the start of the school year may undress in front of a child of the opposite biological sex. </w:t>
      </w:r>
      <w:r>
        <w:rPr>
          <w:rFonts w:ascii="Arial" w:hAnsi="Arial"/>
          <w:b/>
          <w:color w:val="8A3324"/>
          <w:sz w:val="15"/>
        </w:rPr>
        <w:t>MUST</w:t>
      </w:r>
      <w:r>
        <w:rPr>
          <w:rFonts w:ascii="Arial" w:hAnsi="Arial"/>
          <w:b w:val="0"/>
          <w:color w:val="5F5E5A"/>
          <w:sz w:val="16"/>
        </w:rPr>
        <w:t xml:space="preserve"> [108, 115]</w:t>
      </w:r>
      <w:r>
        <w:rPr>
          <w:rFonts w:ascii="Arial" w:hAnsi="Arial"/>
          <w:b w:val="0"/>
          <w:sz w:val="20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No sharing overnight accommodation with a child of the opposite biological sex or access to accommodation designated for the opposite sex. Where single-sex sport is for safety, there are no exceptions. </w:t>
      </w:r>
      <w:r>
        <w:rPr>
          <w:rFonts w:ascii="Arial" w:hAnsi="Arial"/>
          <w:b/>
          <w:color w:val="8A3324"/>
          <w:sz w:val="15"/>
        </w:rPr>
        <w:t>MUST</w:t>
      </w:r>
      <w:r>
        <w:rPr>
          <w:rFonts w:ascii="Arial" w:hAnsi="Arial"/>
          <w:b w:val="0"/>
          <w:color w:val="5F5E5A"/>
          <w:sz w:val="16"/>
        </w:rPr>
        <w:t xml:space="preserve"> [200, 99, 276]</w:t>
      </w:r>
      <w:r>
        <w:rPr>
          <w:rFonts w:ascii="Arial" w:hAnsi="Arial"/>
          <w:b w:val="0"/>
          <w:sz w:val="20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Consider alternative facilities or a separate room without compromising single-sex provision or any child’s safety, comfort, privacy or dignity.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[111, 117, 202]</w:t>
      </w:r>
      <w:r>
        <w:rPr>
          <w:rFonts w:ascii="Arial" w:hAnsi="Arial"/>
          <w:b w:val="0"/>
          <w:sz w:val="20"/>
        </w:rPr>
        <w:t xml:space="preserve"> Where PE has no safety concerns, consider the request through the school process, including safe and fair PE for all. </w:t>
      </w:r>
      <w:r>
        <w:rPr>
          <w:rFonts w:ascii="Arial" w:hAnsi="Arial"/>
          <w:b/>
          <w:color w:val="4A5A2A"/>
          <w:sz w:val="15"/>
        </w:rPr>
        <w:t>STATED</w:t>
      </w:r>
      <w:r>
        <w:rPr>
          <w:rFonts w:ascii="Arial" w:hAnsi="Arial"/>
          <w:b w:val="0"/>
          <w:color w:val="5F5E5A"/>
          <w:sz w:val="16"/>
        </w:rPr>
        <w:t xml:space="preserve"> [99, 100]</w:t>
      </w:r>
      <w:r>
        <w:rPr>
          <w:rFonts w:ascii="Arial" w:hAnsi="Arial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68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Arrangements and checks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[Toilets; changing/washing; PE; trips/boarding; alternatives considered and reasons; relevant check/risk assessment reference, including paragraphs 113 and 201 where applicable; or not applicable]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Explain limits sensitively.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[278]</w:t>
      </w:r>
      <w:r>
        <w:rPr>
          <w:rFonts w:ascii="Arial" w:hAnsi="Arial"/>
          <w:b w:val="0"/>
          <w:sz w:val="20"/>
        </w:rPr>
        <w:t xml:space="preserve"> Make the child and family aware that bullying and harassment will be sanctioned and of pupils’ and staff’s religion or belief rights.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[279]</w:t>
      </w:r>
      <w:r>
        <w:rPr>
          <w:rFonts w:ascii="Arial" w:hAnsi="Arial"/>
          <w:b w:val="0"/>
          <w:sz w:val="20"/>
        </w:rPr>
      </w:r>
    </w:p>
    <w:p>
      <w:r>
        <w:br w:type="page"/>
      </w:r>
    </w:p>
    <w:p>
      <w:pPr>
        <w:pStyle w:val="Heading1"/>
        <w:keepNext/>
        <w:spacing w:before="180" w:after="100"/>
      </w:pPr>
      <w:r>
        <w:rPr>
          <w:rFonts w:ascii="Arial" w:hAnsi="Arial"/>
          <w:b/>
          <w:sz w:val="26"/>
        </w:rPr>
        <w:t>7 Decision, communication and review</w:t>
      </w:r>
    </w:p>
    <w:p>
      <w:pPr>
        <w:spacing w:after="120" w:before="0" w:line="245" w:lineRule="auto"/>
      </w:pPr>
      <w:r>
        <w:rPr>
          <w:rFonts w:ascii="Arial" w:hAnsi="Arial"/>
          <w:b w:val="0"/>
          <w:color w:val="5F5E5A"/>
          <w:sz w:val="16"/>
        </w:rPr>
        <w:t>School: [School name]    Child / case reference: [Reference]    Date: [Date]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85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Decision and reasons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[Each requested change: agreed / not agreed / further consideration; reasons; evidence relied on; why this serves the child’s and other children’s best interests; any good reason for departing from a SHOULD statement]</w:t>
            </w:r>
          </w:p>
        </w:tc>
      </w:tr>
      <w:tr>
        <w:trPr>
          <w:cantSplit/>
          <w:trHeight w:val="850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Approval and implementation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[Decision-maker name/signature/date; DSL name/signature/date; agreed arrangements; start date; action owner; outstanding steps and update date]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Keep information confidential and securely stored.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[74]</w:t>
      </w:r>
      <w:r>
        <w:rPr>
          <w:rFonts w:ascii="Arial" w:hAnsi="Arial"/>
          <w:b w:val="0"/>
          <w:sz w:val="20"/>
        </w:rPr>
        <w:t xml:space="preserve"> Record biological sex accurately wherever recorded. </w:t>
      </w:r>
      <w:r>
        <w:rPr>
          <w:rFonts w:ascii="Arial" w:hAnsi="Arial"/>
          <w:b/>
          <w:color w:val="8A3324"/>
          <w:sz w:val="15"/>
        </w:rPr>
        <w:t>MUST</w:t>
      </w:r>
      <w:r>
        <w:rPr>
          <w:rFonts w:ascii="Arial" w:hAnsi="Arial"/>
          <w:b w:val="0"/>
          <w:color w:val="5F5E5A"/>
          <w:sz w:val="16"/>
        </w:rPr>
        <w:t xml:space="preserve"> [282]</w:t>
      </w:r>
      <w:r>
        <w:rPr>
          <w:rFonts w:ascii="Arial" w:hAnsi="Arial"/>
          <w:b w:val="0"/>
          <w:sz w:val="20"/>
        </w:rPr>
        <w:t xml:space="preserve"> Make relevant staff aware of it.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[282]</w:t>
      </w:r>
      <w:r>
        <w:rPr>
          <w:rFonts w:ascii="Arial" w:hAnsi="Arial"/>
          <w:b w:val="0"/>
          <w:sz w:val="20"/>
        </w:rPr>
        <w:t xml:space="preserve"> Clearly record alternative arrangements, communicate them appropriately and review regularly. </w:t>
      </w:r>
      <w:r>
        <w:rPr>
          <w:rFonts w:ascii="Arial" w:hAnsi="Arial"/>
          <w:b/>
          <w:color w:val="4A5A2A"/>
          <w:sz w:val="15"/>
        </w:rPr>
        <w:t>STATED</w:t>
      </w:r>
      <w:r>
        <w:rPr>
          <w:rFonts w:ascii="Arial" w:hAnsi="Arial"/>
          <w:b w:val="0"/>
          <w:color w:val="5F5E5A"/>
          <w:sz w:val="16"/>
        </w:rPr>
        <w:t xml:space="preserve"> [112, 118]</w:t>
      </w:r>
      <w:r>
        <w:rPr>
          <w:rFonts w:ascii="Arial" w:hAnsi="Arial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624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Communication and records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[What the child and parents/carers were told; by whom, when and how; reasons explained; staff who need information and what was shared; secure storage and access roles; biological sex record checked]</w:t>
            </w:r>
          </w:p>
        </w:tc>
      </w:tr>
      <w:tr>
        <w:trPr>
          <w:cantSplit/>
          <w:trHeight w:val="624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Review arrangements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[Review date under local policy; earlier change-of-circumstances triggers; who monitors; DSL involvement; child/parent participation; contact and local disagreement route]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Review when circumstances or needs change; involve the DSL immediately in deciding whether to review and involve parents or carers.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[280]</w:t>
      </w:r>
      <w:r>
        <w:rPr>
          <w:rFonts w:ascii="Arial" w:hAnsi="Arial"/>
          <w:b w:val="0"/>
          <w:sz w:val="20"/>
        </w:rPr>
        <w:t xml:space="preserve"> If a child wishes to reverse all or part of agreed support, work closely with parents or carers and relevant experts. </w:t>
      </w:r>
      <w:r>
        <w:rPr>
          <w:rFonts w:ascii="Arial" w:hAnsi="Arial"/>
          <w:b/>
          <w:color w:val="1F4E6B"/>
          <w:sz w:val="15"/>
        </w:rPr>
        <w:t>SHOULD</w:t>
      </w:r>
      <w:r>
        <w:rPr>
          <w:rFonts w:ascii="Arial" w:hAnsi="Arial"/>
          <w:b w:val="0"/>
          <w:color w:val="5F5E5A"/>
          <w:sz w:val="16"/>
        </w:rPr>
        <w:t xml:space="preserve"> [284]</w:t>
      </w:r>
      <w:r>
        <w:rPr>
          <w:rFonts w:ascii="Arial" w:hAnsi="Arial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91"/>
        <w:gridCol w:w="6134"/>
      </w:tblGrid>
      <w:tr>
        <w:trPr>
          <w:tblHeader/>
          <w:cantSplit/>
        </w:trPr>
        <w:tc>
          <w:tcPr>
            <w:tcW w:type="dxa" w:w="2891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Record</w:t>
            </w:r>
          </w:p>
        </w:tc>
        <w:tc>
          <w:tcPr>
            <w:tcW w:type="dxa" w:w="6134"/>
            <w:shd w:fill="EFEADD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>
              <w:rPr>
                <w:b/>
              </w:rPr>
            </w:r>
            <w:r>
              <w:rPr>
                <w:rFonts w:ascii="Arial" w:hAnsi="Arial"/>
                <w:b/>
                <w:sz w:val="19"/>
              </w:rPr>
              <w:t>Complete or give a secure record reference</w:t>
            </w:r>
          </w:p>
        </w:tc>
      </w:tr>
      <w:tr>
        <w:trPr>
          <w:cantSplit/>
          <w:trHeight w:val="624" w:hRule="atLeast"/>
        </w:trPr>
        <w:tc>
          <w:tcPr>
            <w:tcW w:type="dxa" w:w="2891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Review entry / continuation</w:t>
            </w:r>
          </w:p>
        </w:tc>
        <w:tc>
          <w:tcPr>
            <w:tcW w:type="dxa" w:w="6134"/>
            <w:vAlign w:val="top"/>
            <w:tcBorders>
              <w:top w:val="single" w:sz="4" w:color="C9C4B8"/>
              <w:left w:val="single" w:sz="4" w:color="C9C4B8"/>
              <w:bottom w:val="single" w:sz="4" w:color="C9C4B8"/>
              <w:right w:val="single" w:sz="4" w:color="C9C4B8"/>
            </w:tcBorders>
            <w:tcMar>
              <w:top w:w="65" w:type="dxa"/>
              <w:left w:w="65" w:type="dxa"/>
              <w:bottom w:w="65" w:type="dxa"/>
              <w:right w:w="65" w:type="dxa"/>
            </w:tcMar>
          </w:tcPr>
          <w:p>
            <w:pPr>
              <w:spacing w:after="40" w:before="0" w:line="240" w:lineRule="auto"/>
            </w:pPr>
            <w:r/>
            <w:r>
              <w:rPr>
                <w:rFonts w:ascii="Arial" w:hAnsi="Arial"/>
                <w:b w:val="0"/>
                <w:sz w:val="19"/>
              </w:rPr>
              <w:t>[Date and trigger; current child/parent views; changed evidence; impact of change; revised decision and reasons; approval; communication; next review. Attach a fresh record if needed.]</w:t>
            </w:r>
          </w:p>
        </w:tc>
      </w:tr>
    </w:tbl>
    <w:p>
      <w:pPr>
        <w:spacing w:after="20" w:before="0" w:line="245" w:lineRule="auto"/>
      </w:pPr>
      <w:r>
        <w:rPr>
          <w:rFonts w:ascii="Arial" w:hAnsi="Arial"/>
          <w:b w:val="0"/>
          <w:sz w:val="4"/>
        </w:rPr>
      </w:r>
    </w:p>
    <w:p>
      <w:pPr>
        <w:spacing w:after="100" w:line="245" w:lineRule="auto"/>
      </w:pPr>
      <w:r>
        <w:rPr>
          <w:rFonts w:ascii="Arial" w:hAnsi="Arial"/>
          <w:b w:val="0"/>
          <w:sz w:val="20"/>
        </w:rPr>
        <w:t xml:space="preserve">For pre-September arrangements, consider whether the decision remains appropriate, including the impact of any change on the child. </w:t>
      </w:r>
      <w:r>
        <w:rPr>
          <w:rFonts w:ascii="Arial" w:hAnsi="Arial"/>
          <w:b/>
          <w:color w:val="4A5A2A"/>
          <w:sz w:val="15"/>
        </w:rPr>
        <w:t>STATED</w:t>
      </w:r>
      <w:r>
        <w:rPr>
          <w:rFonts w:ascii="Arial" w:hAnsi="Arial"/>
          <w:b w:val="0"/>
          <w:color w:val="5F5E5A"/>
          <w:sz w:val="16"/>
        </w:rPr>
        <w:t xml:space="preserve"> [281]</w:t>
      </w:r>
      <w:r>
        <w:rPr>
          <w:rFonts w:ascii="Arial" w:hAnsi="Arial"/>
          <w:b w:val="0"/>
          <w:sz w:val="20"/>
        </w:rPr>
      </w:r>
    </w:p>
    <w:p>
      <w:pPr>
        <w:spacing w:after="100" w:before="0" w:line="245" w:lineRule="auto"/>
      </w:pPr>
      <w:r>
        <w:rPr>
          <w:rFonts w:ascii="Arial" w:hAnsi="Arial"/>
          <w:b w:val="0"/>
          <w:color w:val="9A6A1F"/>
          <w:sz w:val="16"/>
        </w:rPr>
        <w:t>USE  DSL checklist, sections 1–5; Policy framework, sections 3–9 and Appendix A; Facilities checklist; Existing arrangements review. All v0.1 draft.</w:t>
      </w:r>
    </w:p>
    <w:p>
      <w:pPr>
        <w:spacing w:after="80" w:before="0" w:line="245" w:lineRule="auto"/>
      </w:pPr>
      <w:r>
        <w:rPr>
          <w:rFonts w:ascii="Arial" w:hAnsi="Arial"/>
          <w:b w:val="0"/>
          <w:color w:val="5F5E5A"/>
          <w:sz w:val="16"/>
        </w:rPr>
        <w:t>This resource summarises statutory guidance for schools in England. It is not legal advice and does not replace KCSIE 2026 or the school’s own policies.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rFonts w:ascii="Arial" w:hAnsi="Arial"/>
        <w:b w:val="0"/>
        <w:color w:val="5F5E5A"/>
        <w:sz w:val="15"/>
      </w:rPr>
      <w:t>Draft v0.1 for practitioner testing, not for circulation · Eden Openly</w:t>
    </w:r>
  </w:p>
  <w:p>
    <w:pPr>
      <w:spacing w:after="0"/>
    </w:pPr>
    <w:r>
      <w:rPr>
        <w:rFonts w:ascii="Arial" w:hAnsi="Arial"/>
        <w:b w:val="0"/>
        <w:color w:val="5F5E5A"/>
        <w:sz w:val="15"/>
      </w:rPr>
      <w:t>Identifier to be assigned · CC BY 4.0</w:t>
    </w:r>
    <w:r>
      <w:rPr>
        <w:rFonts w:ascii="Arial" w:hAnsi="Arial"/>
        <w:b w:val="0"/>
        <w:color w:val="5F5E5A"/>
        <w:sz w:val="16"/>
      </w:rPr>
      <w:t xml:space="preserve">     Page </w:t>
    </w:r>
    <w:r/>
    <w:fldSimple w:instr="PAGE"/>
    <w:r>
      <w:rPr>
        <w:rFonts w:ascii="Arial" w:hAnsi="Arial"/>
        <w:b w:val="0"/>
        <w:color w:val="5F5E5A"/>
        <w:sz w:val="16"/>
      </w:rPr>
      <w:t xml:space="preserve"> of </w:t>
    </w:r>
    <w:r/>
    <w:fldSimple w:instr="NUMPAGES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Arial" w:hAnsi="Arial"/>
        <w:b w:val="0"/>
        <w:color w:val="5F5E5A"/>
        <w:sz w:val="16"/>
      </w:rPr>
      <w:t>Eden Openly · KCSIE 2026 · Individual decision record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5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Arial" w:cs="Arial" w:eastAsia="Arial" w:hAnsi="Arial"/>
      <w:b/>
      <w:bCs/>
      <w:sz w:val="36"/>
      <w:szCs w:val="36"/>
    </w:rPr>
  </w:style>
  <w:style w:type="paragraph" w:styleId="Heading1">
    <w:name w:val="Heading 1"/>
    <w:basedOn w:val="Normal"/>
    <w:next w:val="Normal"/>
    <w:qFormat/>
    <w:pPr>
      <w:outlineLvl w:val="0"/>
    </w:pPr>
    <w:rPr>
      <w:rFonts w:ascii="Arial" w:cs="Arial" w:eastAsia="Arial" w:hAnsi="Arial"/>
      <w:b/>
      <w:bCs/>
      <w:color w:val="1D1D1B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Requests for support with social transition: individual decision record</dc:title>
  <dc:creator>Eden Openly</dc:creator>
  <cp:lastModifiedBy>Un-named</cp:lastModifiedBy>
  <cp:revision>1</cp:revision>
  <dcterms:created xsi:type="dcterms:W3CDTF">2026-09-11T15:44:08.709Z</dcterms:created>
  <dcterms:modified xsi:type="dcterms:W3CDTF">2026-09-11T15:44:08.719Z</dcterms:modified>
  <dc:subject>KCSIE 2026 · Children questioning their gender</dc:subject>
  <dc:description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